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hint="eastAsia" w:ascii="微软雅黑" w:hAnsi="微软雅黑" w:eastAsia="微软雅黑"/>
          <w:b/>
          <w:sz w:val="54"/>
          <w:szCs w:val="54"/>
        </w:rPr>
      </w:pPr>
    </w:p>
    <w:p>
      <w:pPr>
        <w:spacing w:line="312" w:lineRule="auto"/>
        <w:rPr>
          <w:rFonts w:hint="eastAsia" w:ascii="微软雅黑" w:hAnsi="微软雅黑" w:eastAsia="微软雅黑"/>
          <w:b/>
          <w:sz w:val="54"/>
          <w:szCs w:val="54"/>
        </w:rPr>
      </w:pPr>
    </w:p>
    <w:p>
      <w:pPr>
        <w:spacing w:line="312" w:lineRule="auto"/>
        <w:jc w:val="center"/>
        <w:rPr>
          <w:rFonts w:hint="eastAsia" w:ascii="微软雅黑" w:hAnsi="微软雅黑" w:eastAsia="微软雅黑"/>
          <w:b/>
          <w:sz w:val="54"/>
          <w:szCs w:val="54"/>
          <w:lang w:val="en-US" w:eastAsia="zh-CN"/>
        </w:rPr>
      </w:pPr>
      <w:r>
        <w:rPr>
          <w:rFonts w:hint="eastAsia" w:ascii="微软雅黑" w:hAnsi="微软雅黑" w:eastAsia="微软雅黑"/>
          <w:b/>
          <w:sz w:val="54"/>
          <w:szCs w:val="54"/>
          <w:lang w:val="en-US" w:eastAsia="zh-CN"/>
        </w:rPr>
        <w:t>基层</w:t>
      </w:r>
      <w:r>
        <w:rPr>
          <w:rFonts w:hint="eastAsia" w:ascii="微软雅黑" w:hAnsi="微软雅黑" w:eastAsia="微软雅黑"/>
          <w:b/>
          <w:sz w:val="54"/>
          <w:szCs w:val="54"/>
        </w:rPr>
        <w:t>农技推广</w:t>
      </w:r>
    </w:p>
    <w:p>
      <w:pPr>
        <w:spacing w:line="312" w:lineRule="auto"/>
        <w:rPr>
          <w:rFonts w:hint="default" w:ascii="微软雅黑" w:hAnsi="微软雅黑" w:eastAsia="微软雅黑"/>
          <w:b/>
          <w:sz w:val="54"/>
          <w:szCs w:val="54"/>
          <w:lang w:val="en-US"/>
        </w:rPr>
      </w:pPr>
      <w:r>
        <w:rPr>
          <w:rFonts w:hint="eastAsia" w:ascii="微软雅黑" w:hAnsi="微软雅黑" w:eastAsia="微软雅黑"/>
          <w:b/>
          <w:sz w:val="54"/>
          <w:szCs w:val="54"/>
          <w:lang w:val="en-US" w:eastAsia="zh-CN"/>
        </w:rPr>
        <w:t>关于农技机构与农技人员数据上报</w:t>
      </w:r>
    </w:p>
    <w:p>
      <w:pPr>
        <w:spacing w:line="312" w:lineRule="auto"/>
        <w:ind w:firstLine="435"/>
        <w:jc w:val="center"/>
        <w:rPr>
          <w:rFonts w:hint="eastAsia" w:ascii="微软雅黑" w:hAnsi="微软雅黑" w:eastAsia="微软雅黑"/>
          <w:sz w:val="52"/>
          <w:szCs w:val="84"/>
        </w:rPr>
      </w:pPr>
    </w:p>
    <w:p>
      <w:pPr>
        <w:spacing w:line="312" w:lineRule="auto"/>
        <w:ind w:firstLine="435"/>
        <w:jc w:val="center"/>
        <w:rPr>
          <w:rFonts w:hint="eastAsia" w:ascii="微软雅黑" w:hAnsi="微软雅黑" w:eastAsia="微软雅黑"/>
          <w:sz w:val="52"/>
          <w:szCs w:val="84"/>
        </w:rPr>
      </w:pPr>
    </w:p>
    <w:p>
      <w:pPr>
        <w:spacing w:line="312" w:lineRule="auto"/>
        <w:ind w:firstLine="435"/>
        <w:jc w:val="center"/>
        <w:rPr>
          <w:rFonts w:hint="default" w:ascii="微软雅黑" w:hAnsi="微软雅黑" w:eastAsia="微软雅黑"/>
          <w:sz w:val="72"/>
          <w:szCs w:val="84"/>
          <w:lang w:val="en-US" w:eastAsia="zh-CN"/>
        </w:rPr>
      </w:pPr>
      <w:r>
        <w:rPr>
          <w:rFonts w:hint="eastAsia" w:ascii="微软雅黑" w:hAnsi="微软雅黑" w:eastAsia="微软雅黑"/>
          <w:sz w:val="72"/>
          <w:szCs w:val="84"/>
          <w:lang w:val="en-US" w:eastAsia="zh-CN"/>
        </w:rPr>
        <w:t>使用说明书</w:t>
      </w:r>
    </w:p>
    <w:p>
      <w:pPr>
        <w:spacing w:line="312" w:lineRule="auto"/>
        <w:ind w:firstLine="435"/>
        <w:rPr>
          <w:rFonts w:asciiTheme="minorEastAsia" w:hAnsiTheme="minorEastAsia"/>
          <w:sz w:val="24"/>
          <w:szCs w:val="24"/>
        </w:rPr>
      </w:pPr>
    </w:p>
    <w:p>
      <w:pPr>
        <w:spacing w:line="312" w:lineRule="auto"/>
        <w:ind w:firstLine="435"/>
        <w:rPr>
          <w:rFonts w:asciiTheme="minorEastAsia" w:hAnsiTheme="minorEastAsia"/>
          <w:sz w:val="24"/>
          <w:szCs w:val="24"/>
        </w:rPr>
      </w:pPr>
    </w:p>
    <w:p>
      <w:pPr>
        <w:spacing w:line="312" w:lineRule="auto"/>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sz w:val="24"/>
          <w:szCs w:val="24"/>
        </w:rPr>
      </w:pPr>
    </w:p>
    <w:p>
      <w:pPr>
        <w:spacing w:line="312" w:lineRule="auto"/>
        <w:ind w:firstLine="435"/>
        <w:jc w:val="center"/>
        <w:rPr>
          <w:rFonts w:asciiTheme="minorEastAsia" w:hAnsiTheme="minorEastAsia"/>
          <w:b/>
          <w:sz w:val="36"/>
          <w:szCs w:val="36"/>
        </w:rPr>
      </w:pPr>
      <w:r>
        <w:rPr>
          <w:rFonts w:hint="eastAsia" w:asciiTheme="minorEastAsia" w:hAnsiTheme="minorEastAsia"/>
          <w:b/>
          <w:sz w:val="36"/>
          <w:szCs w:val="36"/>
          <w:lang w:val="en-US" w:eastAsia="zh-CN"/>
        </w:rPr>
        <w:t>农业农村部</w:t>
      </w:r>
      <w:r>
        <w:rPr>
          <w:rFonts w:hint="eastAsia" w:asciiTheme="minorEastAsia" w:hAnsiTheme="minorEastAsia"/>
          <w:b/>
          <w:sz w:val="36"/>
          <w:szCs w:val="36"/>
        </w:rPr>
        <w:t>科教司</w:t>
      </w:r>
    </w:p>
    <w:p>
      <w:pPr>
        <w:spacing w:line="312" w:lineRule="auto"/>
        <w:ind w:firstLine="435"/>
        <w:jc w:val="center"/>
        <w:rPr>
          <w:rFonts w:asciiTheme="minorEastAsia" w:hAnsiTheme="minorEastAsia"/>
          <w:b/>
          <w:sz w:val="36"/>
          <w:szCs w:val="36"/>
        </w:rPr>
      </w:pPr>
      <w:r>
        <w:rPr>
          <w:rFonts w:hint="eastAsia" w:asciiTheme="minorEastAsia" w:hAnsiTheme="minorEastAsia"/>
          <w:b/>
          <w:sz w:val="36"/>
          <w:szCs w:val="36"/>
        </w:rPr>
        <w:t>北京农业</w:t>
      </w:r>
      <w:r>
        <w:rPr>
          <w:rFonts w:asciiTheme="minorEastAsia" w:hAnsiTheme="minorEastAsia"/>
          <w:b/>
          <w:sz w:val="36"/>
          <w:szCs w:val="36"/>
        </w:rPr>
        <w:t>信息技术研究中心</w:t>
      </w:r>
    </w:p>
    <w:p>
      <w:pPr>
        <w:spacing w:line="312" w:lineRule="auto"/>
        <w:ind w:firstLine="435"/>
        <w:jc w:val="center"/>
        <w:rPr>
          <w:rFonts w:asciiTheme="minorEastAsia" w:hAnsiTheme="minorEastAsia"/>
          <w:b/>
          <w:sz w:val="36"/>
          <w:szCs w:val="36"/>
        </w:rPr>
      </w:pPr>
    </w:p>
    <w:p>
      <w:pPr>
        <w:spacing w:line="312" w:lineRule="auto"/>
        <w:ind w:firstLine="435"/>
        <w:jc w:val="center"/>
        <w:rPr>
          <w:rFonts w:hint="eastAsia" w:asciiTheme="minorEastAsia" w:hAnsiTheme="minorEastAsia"/>
          <w:b/>
          <w:sz w:val="36"/>
          <w:szCs w:val="36"/>
        </w:rPr>
      </w:pPr>
      <w:r>
        <w:rPr>
          <w:rFonts w:hint="eastAsia" w:asciiTheme="minorEastAsia" w:hAnsiTheme="minorEastAsia"/>
          <w:b/>
          <w:sz w:val="36"/>
          <w:szCs w:val="36"/>
        </w:rPr>
        <w:t>20</w:t>
      </w:r>
      <w:r>
        <w:rPr>
          <w:rFonts w:hint="eastAsia" w:asciiTheme="minorEastAsia" w:hAnsiTheme="minorEastAsia"/>
          <w:b/>
          <w:sz w:val="36"/>
          <w:szCs w:val="36"/>
          <w:lang w:val="en-US" w:eastAsia="zh-CN"/>
        </w:rPr>
        <w:t>21</w:t>
      </w:r>
      <w:r>
        <w:rPr>
          <w:rFonts w:hint="eastAsia" w:asciiTheme="minorEastAsia" w:hAnsiTheme="minorEastAsia"/>
          <w:b/>
          <w:sz w:val="36"/>
          <w:szCs w:val="36"/>
        </w:rPr>
        <w:t>年</w:t>
      </w:r>
      <w:r>
        <w:rPr>
          <w:rFonts w:hint="eastAsia" w:asciiTheme="minorEastAsia" w:hAnsiTheme="minorEastAsia"/>
          <w:b/>
          <w:sz w:val="36"/>
          <w:szCs w:val="36"/>
          <w:lang w:val="en-US" w:eastAsia="zh-CN"/>
        </w:rPr>
        <w:t>3</w:t>
      </w:r>
      <w:r>
        <w:rPr>
          <w:rFonts w:hint="eastAsia" w:asciiTheme="minorEastAsia" w:hAnsiTheme="minorEastAsia"/>
          <w:b/>
          <w:sz w:val="36"/>
          <w:szCs w:val="36"/>
        </w:rPr>
        <w:t>月</w:t>
      </w:r>
    </w:p>
    <w:p>
      <w:pPr>
        <w:spacing w:line="312" w:lineRule="auto"/>
        <w:ind w:firstLine="435"/>
        <w:jc w:val="center"/>
        <w:rPr>
          <w:rFonts w:hint="eastAsia" w:asciiTheme="minorEastAsia" w:hAnsiTheme="minorEastAsia"/>
          <w:b/>
          <w:sz w:val="36"/>
          <w:szCs w:val="36"/>
        </w:rPr>
      </w:pPr>
    </w:p>
    <w:p>
      <w:pPr>
        <w:spacing w:line="312" w:lineRule="auto"/>
        <w:ind w:firstLine="435"/>
        <w:jc w:val="center"/>
        <w:rPr>
          <w:rFonts w:hint="eastAsia" w:asciiTheme="minorEastAsia" w:hAnsiTheme="minorEastAsia"/>
          <w:b/>
          <w:sz w:val="36"/>
          <w:szCs w:val="36"/>
        </w:rPr>
      </w:pPr>
    </w:p>
    <w:p>
      <w:pPr>
        <w:spacing w:line="312" w:lineRule="auto"/>
        <w:ind w:firstLine="435"/>
        <w:jc w:val="center"/>
        <w:rPr>
          <w:rFonts w:hint="eastAsia" w:asciiTheme="minorEastAsia" w:hAnsiTheme="minorEastAsia"/>
          <w:b/>
          <w:sz w:val="36"/>
          <w:szCs w:val="36"/>
        </w:rPr>
      </w:pPr>
    </w:p>
    <w:p>
      <w:pPr>
        <w:widowControl/>
        <w:jc w:val="left"/>
        <w:rPr>
          <w:rFonts w:asciiTheme="minorEastAsia" w:hAnsiTheme="minorEastAsia"/>
          <w:sz w:val="24"/>
          <w:szCs w:val="24"/>
        </w:rPr>
      </w:pPr>
      <w:r>
        <w:rPr>
          <w:rFonts w:asciiTheme="minorEastAsia" w:hAnsiTheme="minorEastAsia"/>
          <w:b/>
          <w:sz w:val="24"/>
          <w:szCs w:val="24"/>
          <w:lang w:val="en-GB"/>
        </w:rPr>
        <w:br w:type="page"/>
      </w:r>
    </w:p>
    <w:p>
      <w:pPr>
        <w:pStyle w:val="3"/>
        <w:numPr>
          <w:ilvl w:val="0"/>
          <w:numId w:val="2"/>
        </w:numPr>
        <w:rPr>
          <w:rFonts w:hint="eastAsia"/>
        </w:rPr>
      </w:pPr>
      <w:bookmarkStart w:id="0" w:name="_Toc495568266"/>
      <w:bookmarkStart w:id="1" w:name="_Toc248640307"/>
      <w:bookmarkStart w:id="2" w:name="_Toc461616387"/>
      <w:bookmarkStart w:id="3" w:name="_Toc252032653"/>
      <w:r>
        <w:rPr>
          <w:rFonts w:hint="eastAsia" w:ascii="黑体" w:hAnsi="黑体" w:eastAsia="黑体"/>
          <w:sz w:val="28"/>
          <w:szCs w:val="28"/>
          <w:lang w:val="en-US" w:eastAsia="zh-CN"/>
        </w:rPr>
        <w:t>数据上报</w:t>
      </w:r>
      <w:r>
        <w:rPr>
          <w:rFonts w:hint="eastAsia" w:ascii="黑体" w:hAnsi="黑体" w:eastAsia="黑体"/>
          <w:sz w:val="28"/>
          <w:szCs w:val="28"/>
        </w:rPr>
        <w:t>平台操作指南</w:t>
      </w:r>
      <w:bookmarkEnd w:id="0"/>
    </w:p>
    <w:bookmarkEnd w:id="1"/>
    <w:bookmarkEnd w:id="2"/>
    <w:bookmarkEnd w:id="3"/>
    <w:p>
      <w:pPr>
        <w:spacing w:line="360" w:lineRule="auto"/>
        <w:ind w:firstLine="240" w:firstLineChars="100"/>
        <w:rPr>
          <w:rFonts w:hint="default" w:asciiTheme="minorEastAsia" w:hAnsiTheme="minorEastAsia"/>
          <w:sz w:val="24"/>
          <w:szCs w:val="24"/>
          <w:lang w:val="en-US"/>
        </w:rPr>
      </w:pPr>
      <w:r>
        <w:rPr>
          <w:rFonts w:hint="eastAsia"/>
          <w:sz w:val="24"/>
          <w:szCs w:val="24"/>
        </w:rPr>
        <w:t>用户</w:t>
      </w:r>
      <w:r>
        <w:rPr>
          <w:rFonts w:hint="eastAsia" w:asciiTheme="minorEastAsia" w:hAnsiTheme="minorEastAsia"/>
          <w:sz w:val="24"/>
          <w:szCs w:val="24"/>
        </w:rPr>
        <w:t>可</w:t>
      </w:r>
      <w:r>
        <w:rPr>
          <w:rFonts w:hint="eastAsia" w:asciiTheme="minorEastAsia" w:hAnsiTheme="minorEastAsia"/>
          <w:sz w:val="24"/>
          <w:szCs w:val="24"/>
          <w:lang w:val="en-US" w:eastAsia="zh-CN"/>
        </w:rPr>
        <w:t>通过打开</w:t>
      </w:r>
      <w:r>
        <w:rPr>
          <w:rFonts w:hint="eastAsia" w:asciiTheme="minorEastAsia" w:hAnsiTheme="minorEastAsia"/>
          <w:sz w:val="24"/>
          <w:szCs w:val="24"/>
        </w:rPr>
        <w:t>“</w:t>
      </w:r>
      <w:r>
        <w:rPr>
          <w:rFonts w:hint="eastAsia" w:asciiTheme="minorEastAsia" w:hAnsiTheme="minorEastAsia"/>
          <w:sz w:val="24"/>
          <w:szCs w:val="24"/>
          <w:lang w:val="en-US" w:eastAsia="zh-CN"/>
        </w:rPr>
        <w:t>全国农业科教云平台</w:t>
      </w:r>
      <w:r>
        <w:rPr>
          <w:rFonts w:hint="eastAsia" w:asciiTheme="minorEastAsia" w:hAnsiTheme="minorEastAsia"/>
          <w:sz w:val="24"/>
          <w:szCs w:val="24"/>
        </w:rPr>
        <w:t>”</w:t>
      </w:r>
      <w:r>
        <w:rPr>
          <w:rFonts w:asciiTheme="minorEastAsia" w:hAnsiTheme="minorEastAsia"/>
          <w:sz w:val="24"/>
          <w:szCs w:val="24"/>
        </w:rPr>
        <w:t>（</w:t>
      </w:r>
      <w:r>
        <w:rPr>
          <w:rFonts w:asciiTheme="minorEastAsia" w:hAnsiTheme="minorEastAsia"/>
          <w:color w:val="auto"/>
          <w:sz w:val="24"/>
          <w:szCs w:val="24"/>
          <w:u w:val="none"/>
        </w:rPr>
        <w:t>http://</w:t>
      </w:r>
      <w:r>
        <w:rPr>
          <w:rFonts w:hint="eastAsia" w:asciiTheme="minorEastAsia" w:hAnsiTheme="minorEastAsia"/>
          <w:color w:val="auto"/>
          <w:sz w:val="24"/>
          <w:szCs w:val="24"/>
          <w:u w:val="none"/>
          <w:lang w:val="en-US" w:eastAsia="zh-CN"/>
        </w:rPr>
        <w:t>njtg.nercita.org.cn</w:t>
      </w:r>
      <w:r>
        <w:rPr>
          <w:rFonts w:asciiTheme="minorEastAsia" w:hAnsiTheme="minorEastAsia"/>
          <w:color w:val="auto"/>
          <w:sz w:val="24"/>
          <w:szCs w:val="24"/>
          <w:u w:val="none"/>
        </w:rPr>
        <w:t>）</w:t>
      </w:r>
      <w:r>
        <w:rPr>
          <w:rFonts w:hint="eastAsia" w:asciiTheme="minorEastAsia" w:hAnsiTheme="minorEastAsia"/>
          <w:sz w:val="24"/>
          <w:szCs w:val="24"/>
          <w:lang w:val="en-US" w:eastAsia="zh-CN"/>
        </w:rPr>
        <w:t>如下图，点击“点击进入”</w:t>
      </w:r>
    </w:p>
    <w:p>
      <w:pPr>
        <w:spacing w:line="360" w:lineRule="auto"/>
        <w:jc w:val="both"/>
        <w:rPr>
          <w:rFonts w:asciiTheme="minorEastAsia" w:hAnsiTheme="minorEastAsia"/>
          <w:sz w:val="24"/>
          <w:szCs w:val="24"/>
        </w:rPr>
      </w:pPr>
      <w:r>
        <w:drawing>
          <wp:inline distT="0" distB="0" distL="114300" distR="114300">
            <wp:extent cx="5270500" cy="3290570"/>
            <wp:effectExtent l="0" t="0" r="6350" b="50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7"/>
                    <a:stretch>
                      <a:fillRect/>
                    </a:stretch>
                  </pic:blipFill>
                  <pic:spPr>
                    <a:xfrm>
                      <a:off x="0" y="0"/>
                      <a:ext cx="5270500" cy="3290570"/>
                    </a:xfrm>
                    <a:prstGeom prst="rect">
                      <a:avLst/>
                    </a:prstGeom>
                    <a:noFill/>
                    <a:ln>
                      <a:noFill/>
                    </a:ln>
                  </pic:spPr>
                </pic:pic>
              </a:graphicData>
            </a:graphic>
          </wp:inline>
        </w:drawing>
      </w:r>
    </w:p>
    <w:p>
      <w:pPr>
        <w:pStyle w:val="11"/>
        <w:spacing w:line="360" w:lineRule="auto"/>
        <w:jc w:val="center"/>
      </w:pPr>
      <w:r>
        <w:rPr>
          <w:rFonts w:hint="eastAsia"/>
        </w:rPr>
        <w:t xml:space="preserve">图 </w:t>
      </w:r>
      <w:r>
        <w:rPr>
          <w:rFonts w:hint="eastAsia"/>
          <w:lang w:val="en-US" w:eastAsia="zh-CN"/>
        </w:rPr>
        <w:t>1</w:t>
      </w:r>
      <w:r>
        <w:rPr>
          <w:rFonts w:hint="eastAsia"/>
        </w:rPr>
        <w:t>全国农业科教云平台</w:t>
      </w:r>
    </w:p>
    <w:p>
      <w:pPr>
        <w:spacing w:line="360" w:lineRule="auto"/>
        <w:ind w:firstLine="480" w:firstLineChars="200"/>
      </w:pPr>
      <w:r>
        <w:rPr>
          <w:rFonts w:hint="eastAsia" w:asciiTheme="minorEastAsia" w:hAnsiTheme="minorEastAsia"/>
          <w:sz w:val="24"/>
          <w:szCs w:val="24"/>
          <w:lang w:val="en-US" w:eastAsia="zh-CN"/>
        </w:rPr>
        <w:t>进入</w:t>
      </w:r>
      <w:r>
        <w:rPr>
          <w:rFonts w:hint="eastAsia" w:asciiTheme="minorEastAsia" w:hAnsiTheme="minorEastAsia"/>
          <w:sz w:val="24"/>
          <w:szCs w:val="24"/>
        </w:rPr>
        <w:t>平台</w:t>
      </w:r>
      <w:r>
        <w:rPr>
          <w:rFonts w:hint="eastAsia" w:asciiTheme="minorEastAsia" w:hAnsiTheme="minorEastAsia"/>
          <w:sz w:val="24"/>
          <w:szCs w:val="24"/>
          <w:lang w:val="en-US" w:eastAsia="zh-CN"/>
        </w:rPr>
        <w:t>主页后</w:t>
      </w:r>
      <w:r>
        <w:rPr>
          <w:rFonts w:hint="eastAsia" w:asciiTheme="minorEastAsia" w:hAnsiTheme="minorEastAsia"/>
          <w:sz w:val="24"/>
          <w:szCs w:val="24"/>
        </w:rPr>
        <w:t>，</w:t>
      </w:r>
      <w:r>
        <w:rPr>
          <w:rFonts w:hint="eastAsia" w:asciiTheme="minorEastAsia" w:hAnsiTheme="minorEastAsia"/>
          <w:sz w:val="24"/>
          <w:szCs w:val="24"/>
          <w:lang w:val="en-US" w:eastAsia="zh-CN"/>
        </w:rPr>
        <w:t>点击右上角登录，会弹出输入用户名和密码提示框，输入各个省市县管理员用户名和密码，点击登录，如下图所示：</w:t>
      </w:r>
    </w:p>
    <w:p>
      <w:pPr>
        <w:spacing w:line="360" w:lineRule="auto"/>
        <w:jc w:val="center"/>
      </w:pPr>
      <w:r>
        <w:drawing>
          <wp:inline distT="0" distB="0" distL="114300" distR="114300">
            <wp:extent cx="5273040" cy="2344420"/>
            <wp:effectExtent l="0" t="0" r="3810" b="17780"/>
            <wp:docPr id="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
                    <pic:cNvPicPr>
                      <a:picLocks noChangeAspect="1"/>
                    </pic:cNvPicPr>
                  </pic:nvPicPr>
                  <pic:blipFill>
                    <a:blip r:embed="rId8"/>
                    <a:stretch>
                      <a:fillRect/>
                    </a:stretch>
                  </pic:blipFill>
                  <pic:spPr>
                    <a:xfrm>
                      <a:off x="0" y="0"/>
                      <a:ext cx="5273040" cy="2344420"/>
                    </a:xfrm>
                    <a:prstGeom prst="rect">
                      <a:avLst/>
                    </a:prstGeom>
                    <a:noFill/>
                    <a:ln>
                      <a:noFill/>
                    </a:ln>
                  </pic:spPr>
                </pic:pic>
              </a:graphicData>
            </a:graphic>
          </wp:inline>
        </w:drawing>
      </w:r>
    </w:p>
    <w:p>
      <w:pPr>
        <w:pStyle w:val="11"/>
        <w:spacing w:line="360" w:lineRule="auto"/>
        <w:jc w:val="center"/>
        <w:rPr>
          <w:rFonts w:hint="default" w:eastAsia="黑体"/>
          <w:lang w:val="en-US" w:eastAsia="zh-CN"/>
        </w:rPr>
      </w:pPr>
      <w:r>
        <w:rPr>
          <w:rFonts w:hint="eastAsia"/>
        </w:rPr>
        <w:t xml:space="preserve">图 </w:t>
      </w:r>
      <w:r>
        <w:rPr>
          <w:rFonts w:hint="eastAsia"/>
          <w:lang w:val="en-US" w:eastAsia="zh-CN"/>
        </w:rPr>
        <w:t>2</w:t>
      </w:r>
      <w:r>
        <w:t xml:space="preserve"> </w:t>
      </w:r>
      <w:r>
        <w:rPr>
          <w:rFonts w:hint="eastAsia"/>
          <w:lang w:val="en-US" w:eastAsia="zh-CN"/>
        </w:rPr>
        <w:t>登录界面图</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登录成功后，点击导航栏位置“系统管理”，进入农技推广数据上报管理端页面，如下图所示：</w:t>
      </w:r>
    </w:p>
    <w:p>
      <w:pPr>
        <w:pStyle w:val="3"/>
        <w:numPr>
          <w:ilvl w:val="1"/>
          <w:numId w:val="3"/>
        </w:numPr>
        <w:ind w:left="1407" w:leftChars="0" w:firstLineChars="0"/>
        <w:rPr>
          <w:rFonts w:hint="default" w:asciiTheme="minorEastAsia" w:hAnsiTheme="minorEastAsia"/>
          <w:sz w:val="24"/>
          <w:szCs w:val="24"/>
          <w:lang w:val="en-US" w:eastAsia="zh-CN"/>
        </w:rPr>
      </w:pPr>
      <w:r>
        <w:rPr>
          <w:rFonts w:hint="eastAsia"/>
          <w:lang w:val="en-US" w:eastAsia="zh-CN"/>
        </w:rPr>
        <w:t>农技机构填报</w:t>
      </w:r>
    </w:p>
    <w:p>
      <w:pPr>
        <w:spacing w:line="360" w:lineRule="auto"/>
        <w:ind w:firstLine="480" w:firstLineChars="200"/>
        <w:jc w:val="left"/>
      </w:pPr>
      <w:r>
        <w:rPr>
          <w:rFonts w:hint="eastAsia" w:asciiTheme="minorEastAsia" w:hAnsiTheme="minorEastAsia"/>
          <w:sz w:val="24"/>
          <w:szCs w:val="24"/>
        </w:rPr>
        <w:t xml:space="preserve"> </w:t>
      </w:r>
      <w:r>
        <w:rPr>
          <w:rFonts w:asciiTheme="minorEastAsia" w:hAnsiTheme="minorEastAsia"/>
          <w:sz w:val="24"/>
          <w:szCs w:val="24"/>
        </w:rPr>
        <w:t xml:space="preserve"> </w:t>
      </w:r>
      <w:r>
        <w:drawing>
          <wp:inline distT="0" distB="0" distL="114300" distR="114300">
            <wp:extent cx="5266690" cy="2540000"/>
            <wp:effectExtent l="0" t="0" r="10160" b="12700"/>
            <wp:docPr id="2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3"/>
                    <pic:cNvPicPr>
                      <a:picLocks noChangeAspect="1"/>
                    </pic:cNvPicPr>
                  </pic:nvPicPr>
                  <pic:blipFill>
                    <a:blip r:embed="rId9"/>
                    <a:stretch>
                      <a:fillRect/>
                    </a:stretch>
                  </pic:blipFill>
                  <pic:spPr>
                    <a:xfrm>
                      <a:off x="0" y="0"/>
                      <a:ext cx="5266690" cy="2540000"/>
                    </a:xfrm>
                    <a:prstGeom prst="rect">
                      <a:avLst/>
                    </a:prstGeom>
                    <a:noFill/>
                    <a:ln>
                      <a:noFill/>
                    </a:ln>
                  </pic:spPr>
                </pic:pic>
              </a:graphicData>
            </a:graphic>
          </wp:inline>
        </w:drawing>
      </w:r>
    </w:p>
    <w:p>
      <w:pPr>
        <w:pStyle w:val="11"/>
        <w:spacing w:line="360" w:lineRule="auto"/>
        <w:jc w:val="center"/>
        <w:rPr>
          <w:rFonts w:hint="eastAsia"/>
          <w:lang w:val="en-US" w:eastAsia="zh-CN"/>
        </w:rPr>
      </w:pPr>
      <w:r>
        <w:rPr>
          <w:rFonts w:hint="eastAsia"/>
        </w:rPr>
        <w:t xml:space="preserve">图 </w:t>
      </w:r>
      <w:r>
        <w:rPr>
          <w:rFonts w:hint="eastAsia"/>
          <w:lang w:val="en-US" w:eastAsia="zh-CN"/>
        </w:rPr>
        <w:t>3</w:t>
      </w:r>
      <w:r>
        <w:t xml:space="preserve"> </w:t>
      </w:r>
      <w:r>
        <w:rPr>
          <w:rFonts w:hint="eastAsia"/>
          <w:lang w:val="en-US" w:eastAsia="zh-CN"/>
        </w:rPr>
        <w:t>后台主界面图</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点击左侧“农技机构”，如下图所示为当前农技机构的列表页面，用户可以在该页面，点击右侧按钮进行农技机构相关的添加、修改操作，如下图所示：</w:t>
      </w:r>
    </w:p>
    <w:p>
      <w:pPr>
        <w:spacing w:line="360" w:lineRule="auto"/>
      </w:pPr>
      <w:r>
        <w:drawing>
          <wp:inline distT="0" distB="0" distL="114300" distR="114300">
            <wp:extent cx="5267960" cy="1820545"/>
            <wp:effectExtent l="0" t="0" r="8890" b="8255"/>
            <wp:docPr id="2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4"/>
                    <pic:cNvPicPr>
                      <a:picLocks noChangeAspect="1"/>
                    </pic:cNvPicPr>
                  </pic:nvPicPr>
                  <pic:blipFill>
                    <a:blip r:embed="rId10"/>
                    <a:stretch>
                      <a:fillRect/>
                    </a:stretch>
                  </pic:blipFill>
                  <pic:spPr>
                    <a:xfrm>
                      <a:off x="0" y="0"/>
                      <a:ext cx="5267960" cy="1820545"/>
                    </a:xfrm>
                    <a:prstGeom prst="rect">
                      <a:avLst/>
                    </a:prstGeom>
                    <a:noFill/>
                    <a:ln>
                      <a:noFill/>
                    </a:ln>
                  </pic:spPr>
                </pic:pic>
              </a:graphicData>
            </a:graphic>
          </wp:inline>
        </w:drawing>
      </w:r>
    </w:p>
    <w:p>
      <w:pPr>
        <w:pStyle w:val="11"/>
        <w:spacing w:line="360" w:lineRule="auto"/>
        <w:jc w:val="center"/>
        <w:rPr>
          <w:rFonts w:hint="eastAsia"/>
          <w:lang w:val="en-US" w:eastAsia="zh-CN"/>
        </w:rPr>
      </w:pPr>
      <w:r>
        <w:rPr>
          <w:rFonts w:hint="eastAsia"/>
          <w:lang w:val="en-US" w:eastAsia="zh-CN"/>
        </w:rPr>
        <w:t>图4 农技机构列表页面</w:t>
      </w:r>
    </w:p>
    <w:p>
      <w:pPr>
        <w:rPr>
          <w:rFonts w:hint="eastAsia"/>
          <w:lang w:val="en-US" w:eastAsia="zh-CN"/>
        </w:rPr>
      </w:pPr>
      <w:r>
        <w:rPr>
          <w:rFonts w:hint="eastAsia"/>
          <w:lang w:val="en-US" w:eastAsia="zh-CN"/>
        </w:rPr>
        <w:t>点击右侧顶部“</w:t>
      </w:r>
      <w:r>
        <w:drawing>
          <wp:inline distT="0" distB="0" distL="114300" distR="114300">
            <wp:extent cx="352425" cy="409575"/>
            <wp:effectExtent l="0" t="0" r="9525" b="9525"/>
            <wp:docPr id="2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6"/>
                    <pic:cNvPicPr>
                      <a:picLocks noChangeAspect="1"/>
                    </pic:cNvPicPr>
                  </pic:nvPicPr>
                  <pic:blipFill>
                    <a:blip r:embed="rId11"/>
                    <a:stretch>
                      <a:fillRect/>
                    </a:stretch>
                  </pic:blipFill>
                  <pic:spPr>
                    <a:xfrm>
                      <a:off x="0" y="0"/>
                      <a:ext cx="352425" cy="409575"/>
                    </a:xfrm>
                    <a:prstGeom prst="rect">
                      <a:avLst/>
                    </a:prstGeom>
                    <a:noFill/>
                    <a:ln>
                      <a:noFill/>
                    </a:ln>
                  </pic:spPr>
                </pic:pic>
              </a:graphicData>
            </a:graphic>
          </wp:inline>
        </w:drawing>
      </w:r>
      <w:r>
        <w:rPr>
          <w:rFonts w:hint="eastAsia"/>
          <w:lang w:val="en-US" w:eastAsia="zh-CN"/>
        </w:rPr>
        <w:t>”按钮，可以实现机构的增加，如下图所示，输入相关信息后，点击确定即可：</w:t>
      </w:r>
    </w:p>
    <w:p>
      <w:pPr>
        <w:rPr>
          <w:rFonts w:hint="default"/>
          <w:lang w:val="en-US" w:eastAsia="zh-CN"/>
        </w:rPr>
      </w:pPr>
      <w:r>
        <w:drawing>
          <wp:inline distT="0" distB="0" distL="114300" distR="114300">
            <wp:extent cx="5264785" cy="2882265"/>
            <wp:effectExtent l="0" t="0" r="12065" b="13335"/>
            <wp:docPr id="2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7"/>
                    <pic:cNvPicPr>
                      <a:picLocks noChangeAspect="1"/>
                    </pic:cNvPicPr>
                  </pic:nvPicPr>
                  <pic:blipFill>
                    <a:blip r:embed="rId12"/>
                    <a:stretch>
                      <a:fillRect/>
                    </a:stretch>
                  </pic:blipFill>
                  <pic:spPr>
                    <a:xfrm>
                      <a:off x="0" y="0"/>
                      <a:ext cx="5264785" cy="2882265"/>
                    </a:xfrm>
                    <a:prstGeom prst="rect">
                      <a:avLst/>
                    </a:prstGeom>
                    <a:noFill/>
                    <a:ln>
                      <a:noFill/>
                    </a:ln>
                  </pic:spPr>
                </pic:pic>
              </a:graphicData>
            </a:graphic>
          </wp:inline>
        </w:drawing>
      </w:r>
    </w:p>
    <w:p>
      <w:pPr>
        <w:spacing w:line="360" w:lineRule="auto"/>
      </w:pPr>
      <w:r>
        <w:t xml:space="preserve">      </w:t>
      </w:r>
    </w:p>
    <w:p>
      <w:pPr>
        <w:pStyle w:val="11"/>
        <w:spacing w:line="360" w:lineRule="auto"/>
        <w:jc w:val="center"/>
        <w:rPr>
          <w:rFonts w:hint="eastAsia"/>
          <w:lang w:val="en-US" w:eastAsia="zh-CN"/>
        </w:rPr>
      </w:pPr>
      <w:r>
        <w:rPr>
          <w:rFonts w:hint="eastAsia"/>
          <w:lang w:val="en-US" w:eastAsia="zh-CN"/>
        </w:rPr>
        <w:t>图 5 农技机构添加页面</w:t>
      </w:r>
    </w:p>
    <w:p>
      <w:pPr>
        <w:rPr>
          <w:rFonts w:hint="eastAsia"/>
          <w:lang w:val="en-US" w:eastAsia="zh-CN"/>
        </w:rPr>
      </w:pPr>
      <w:r>
        <w:rPr>
          <w:rFonts w:hint="eastAsia"/>
          <w:lang w:val="en-US" w:eastAsia="zh-CN"/>
        </w:rPr>
        <w:t>点击列表“</w:t>
      </w:r>
      <w:r>
        <w:drawing>
          <wp:inline distT="0" distB="0" distL="114300" distR="114300">
            <wp:extent cx="409575" cy="285750"/>
            <wp:effectExtent l="0" t="0" r="9525" b="0"/>
            <wp:docPr id="2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8"/>
                    <pic:cNvPicPr>
                      <a:picLocks noChangeAspect="1"/>
                    </pic:cNvPicPr>
                  </pic:nvPicPr>
                  <pic:blipFill>
                    <a:blip r:embed="rId13"/>
                    <a:stretch>
                      <a:fillRect/>
                    </a:stretch>
                  </pic:blipFill>
                  <pic:spPr>
                    <a:xfrm>
                      <a:off x="0" y="0"/>
                      <a:ext cx="409575" cy="285750"/>
                    </a:xfrm>
                    <a:prstGeom prst="rect">
                      <a:avLst/>
                    </a:prstGeom>
                    <a:noFill/>
                    <a:ln>
                      <a:noFill/>
                    </a:ln>
                  </pic:spPr>
                </pic:pic>
              </a:graphicData>
            </a:graphic>
          </wp:inline>
        </w:drawing>
      </w:r>
      <w:r>
        <w:rPr>
          <w:rFonts w:hint="eastAsia"/>
          <w:lang w:val="en-US" w:eastAsia="zh-CN"/>
        </w:rPr>
        <w:t>”按钮，可以实现指定机构的修改操作，如下图所示，把需要修改的信息完善，点击确定即可：</w:t>
      </w:r>
    </w:p>
    <w:p>
      <w:r>
        <w:drawing>
          <wp:inline distT="0" distB="0" distL="114300" distR="114300">
            <wp:extent cx="5269865" cy="3899535"/>
            <wp:effectExtent l="0" t="0" r="6985" b="5715"/>
            <wp:docPr id="2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9"/>
                    <pic:cNvPicPr>
                      <a:picLocks noChangeAspect="1"/>
                    </pic:cNvPicPr>
                  </pic:nvPicPr>
                  <pic:blipFill>
                    <a:blip r:embed="rId14"/>
                    <a:stretch>
                      <a:fillRect/>
                    </a:stretch>
                  </pic:blipFill>
                  <pic:spPr>
                    <a:xfrm>
                      <a:off x="0" y="0"/>
                      <a:ext cx="5269865" cy="3899535"/>
                    </a:xfrm>
                    <a:prstGeom prst="rect">
                      <a:avLst/>
                    </a:prstGeom>
                    <a:noFill/>
                    <a:ln>
                      <a:noFill/>
                    </a:ln>
                  </pic:spPr>
                </pic:pic>
              </a:graphicData>
            </a:graphic>
          </wp:inline>
        </w:drawing>
      </w:r>
    </w:p>
    <w:p>
      <w:pPr>
        <w:rPr>
          <w:rFonts w:hint="eastAsia"/>
          <w:lang w:val="en-US" w:eastAsia="zh-CN"/>
        </w:rPr>
      </w:pPr>
    </w:p>
    <w:p>
      <w:pPr>
        <w:pStyle w:val="3"/>
        <w:numPr>
          <w:ilvl w:val="1"/>
          <w:numId w:val="3"/>
        </w:numPr>
        <w:ind w:left="1407" w:leftChars="0" w:firstLineChars="0"/>
        <w:rPr>
          <w:rFonts w:hint="eastAsia"/>
        </w:rPr>
      </w:pPr>
      <w:r>
        <w:rPr>
          <w:rFonts w:hint="eastAsia"/>
          <w:lang w:val="en-US" w:eastAsia="zh-CN"/>
        </w:rPr>
        <w:t>农技人员填报</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点击左侧“农技人员”，如下图所示为当前农技人员的列表页面，用户可以在该页面，点击右侧按钮进行农技人员相关的添加、修改操作，如下图所示：</w:t>
      </w:r>
    </w:p>
    <w:p>
      <w:pPr>
        <w:spacing w:line="360" w:lineRule="auto"/>
      </w:pPr>
      <w:r>
        <w:drawing>
          <wp:inline distT="0" distB="0" distL="114300" distR="114300">
            <wp:extent cx="5268595" cy="1724025"/>
            <wp:effectExtent l="0" t="0" r="8255" b="9525"/>
            <wp:docPr id="2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0"/>
                    <pic:cNvPicPr>
                      <a:picLocks noChangeAspect="1"/>
                    </pic:cNvPicPr>
                  </pic:nvPicPr>
                  <pic:blipFill>
                    <a:blip r:embed="rId15"/>
                    <a:stretch>
                      <a:fillRect/>
                    </a:stretch>
                  </pic:blipFill>
                  <pic:spPr>
                    <a:xfrm>
                      <a:off x="0" y="0"/>
                      <a:ext cx="5268595" cy="1724025"/>
                    </a:xfrm>
                    <a:prstGeom prst="rect">
                      <a:avLst/>
                    </a:prstGeom>
                    <a:noFill/>
                    <a:ln>
                      <a:noFill/>
                    </a:ln>
                  </pic:spPr>
                </pic:pic>
              </a:graphicData>
            </a:graphic>
          </wp:inline>
        </w:drawing>
      </w:r>
    </w:p>
    <w:p>
      <w:pPr>
        <w:pStyle w:val="11"/>
        <w:spacing w:line="360" w:lineRule="auto"/>
        <w:jc w:val="center"/>
        <w:rPr>
          <w:rFonts w:hint="eastAsia"/>
          <w:lang w:val="en-US" w:eastAsia="zh-CN"/>
        </w:rPr>
      </w:pPr>
      <w:r>
        <w:rPr>
          <w:rFonts w:hint="eastAsia"/>
          <w:lang w:val="en-US" w:eastAsia="zh-CN"/>
        </w:rPr>
        <w:t>图4 农技人员列表页面</w:t>
      </w:r>
    </w:p>
    <w:p>
      <w:pPr>
        <w:rPr>
          <w:rFonts w:hint="eastAsia"/>
          <w:lang w:val="en-US" w:eastAsia="zh-CN"/>
        </w:rPr>
      </w:pPr>
      <w:r>
        <w:rPr>
          <w:rFonts w:hint="eastAsia"/>
          <w:lang w:val="en-US" w:eastAsia="zh-CN"/>
        </w:rPr>
        <w:t>点击右侧顶部“</w:t>
      </w:r>
      <w:r>
        <w:drawing>
          <wp:inline distT="0" distB="0" distL="114300" distR="114300">
            <wp:extent cx="352425" cy="409575"/>
            <wp:effectExtent l="0" t="0" r="9525" b="9525"/>
            <wp:docPr id="2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6"/>
                    <pic:cNvPicPr>
                      <a:picLocks noChangeAspect="1"/>
                    </pic:cNvPicPr>
                  </pic:nvPicPr>
                  <pic:blipFill>
                    <a:blip r:embed="rId11"/>
                    <a:stretch>
                      <a:fillRect/>
                    </a:stretch>
                  </pic:blipFill>
                  <pic:spPr>
                    <a:xfrm>
                      <a:off x="0" y="0"/>
                      <a:ext cx="352425" cy="409575"/>
                    </a:xfrm>
                    <a:prstGeom prst="rect">
                      <a:avLst/>
                    </a:prstGeom>
                    <a:noFill/>
                    <a:ln>
                      <a:noFill/>
                    </a:ln>
                  </pic:spPr>
                </pic:pic>
              </a:graphicData>
            </a:graphic>
          </wp:inline>
        </w:drawing>
      </w:r>
      <w:r>
        <w:rPr>
          <w:rFonts w:hint="eastAsia"/>
          <w:lang w:val="en-US" w:eastAsia="zh-CN"/>
        </w:rPr>
        <w:t>”按钮，可以实现人员的增加，如下图所示，输入相关信息后，点击确定即可：</w:t>
      </w:r>
    </w:p>
    <w:p>
      <w:pPr>
        <w:jc w:val="both"/>
        <w:rPr>
          <w:rFonts w:hint="default"/>
          <w:lang w:val="en-US" w:eastAsia="zh-CN"/>
        </w:rPr>
      </w:pPr>
      <w:r>
        <w:drawing>
          <wp:inline distT="0" distB="0" distL="114300" distR="114300">
            <wp:extent cx="5261610" cy="2872105"/>
            <wp:effectExtent l="0" t="0" r="15240" b="4445"/>
            <wp:docPr id="2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11"/>
                    <pic:cNvPicPr>
                      <a:picLocks noChangeAspect="1"/>
                    </pic:cNvPicPr>
                  </pic:nvPicPr>
                  <pic:blipFill>
                    <a:blip r:embed="rId16"/>
                    <a:stretch>
                      <a:fillRect/>
                    </a:stretch>
                  </pic:blipFill>
                  <pic:spPr>
                    <a:xfrm>
                      <a:off x="0" y="0"/>
                      <a:ext cx="5261610" cy="2872105"/>
                    </a:xfrm>
                    <a:prstGeom prst="rect">
                      <a:avLst/>
                    </a:prstGeom>
                    <a:noFill/>
                    <a:ln>
                      <a:noFill/>
                    </a:ln>
                  </pic:spPr>
                </pic:pic>
              </a:graphicData>
            </a:graphic>
          </wp:inline>
        </w:drawing>
      </w:r>
    </w:p>
    <w:p>
      <w:pPr>
        <w:spacing w:line="360" w:lineRule="auto"/>
      </w:pPr>
      <w:r>
        <w:t xml:space="preserve">      </w:t>
      </w:r>
    </w:p>
    <w:p>
      <w:pPr>
        <w:pStyle w:val="11"/>
        <w:spacing w:line="360" w:lineRule="auto"/>
        <w:jc w:val="center"/>
        <w:rPr>
          <w:rFonts w:hint="eastAsia"/>
          <w:lang w:val="en-US" w:eastAsia="zh-CN"/>
        </w:rPr>
      </w:pPr>
      <w:r>
        <w:rPr>
          <w:rFonts w:hint="eastAsia"/>
          <w:lang w:val="en-US" w:eastAsia="zh-CN"/>
        </w:rPr>
        <w:t>图 5 农技人员添加页面</w:t>
      </w:r>
    </w:p>
    <w:p>
      <w:pPr>
        <w:rPr>
          <w:rFonts w:hint="eastAsia"/>
          <w:lang w:val="en-US" w:eastAsia="zh-CN"/>
        </w:rPr>
      </w:pPr>
      <w:r>
        <w:rPr>
          <w:rFonts w:hint="eastAsia"/>
          <w:lang w:val="en-US" w:eastAsia="zh-CN"/>
        </w:rPr>
        <w:t>点击列表“</w:t>
      </w:r>
      <w:r>
        <w:drawing>
          <wp:inline distT="0" distB="0" distL="114300" distR="114300">
            <wp:extent cx="409575" cy="285750"/>
            <wp:effectExtent l="0" t="0" r="9525" b="0"/>
            <wp:docPr id="2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8"/>
                    <pic:cNvPicPr>
                      <a:picLocks noChangeAspect="1"/>
                    </pic:cNvPicPr>
                  </pic:nvPicPr>
                  <pic:blipFill>
                    <a:blip r:embed="rId13"/>
                    <a:stretch>
                      <a:fillRect/>
                    </a:stretch>
                  </pic:blipFill>
                  <pic:spPr>
                    <a:xfrm>
                      <a:off x="0" y="0"/>
                      <a:ext cx="409575" cy="285750"/>
                    </a:xfrm>
                    <a:prstGeom prst="rect">
                      <a:avLst/>
                    </a:prstGeom>
                    <a:noFill/>
                    <a:ln>
                      <a:noFill/>
                    </a:ln>
                  </pic:spPr>
                </pic:pic>
              </a:graphicData>
            </a:graphic>
          </wp:inline>
        </w:drawing>
      </w:r>
      <w:r>
        <w:rPr>
          <w:rFonts w:hint="eastAsia"/>
          <w:lang w:val="en-US" w:eastAsia="zh-CN"/>
        </w:rPr>
        <w:t>”按钮，可以实现指定农技人员的修改操作，如下图所示，把需要修改的信息完善，点击确定即可：</w:t>
      </w:r>
    </w:p>
    <w:p>
      <w:pPr>
        <w:rPr>
          <w:rFonts w:hint="eastAsia"/>
        </w:rPr>
      </w:pPr>
      <w:r>
        <w:drawing>
          <wp:inline distT="0" distB="0" distL="114300" distR="114300">
            <wp:extent cx="5268595" cy="2479675"/>
            <wp:effectExtent l="0" t="0" r="8255" b="15875"/>
            <wp:docPr id="2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2"/>
                    <pic:cNvPicPr>
                      <a:picLocks noChangeAspect="1"/>
                    </pic:cNvPicPr>
                  </pic:nvPicPr>
                  <pic:blipFill>
                    <a:blip r:embed="rId17"/>
                    <a:stretch>
                      <a:fillRect/>
                    </a:stretch>
                  </pic:blipFill>
                  <pic:spPr>
                    <a:xfrm>
                      <a:off x="0" y="0"/>
                      <a:ext cx="5268595" cy="2479675"/>
                    </a:xfrm>
                    <a:prstGeom prst="rect">
                      <a:avLst/>
                    </a:prstGeom>
                    <a:noFill/>
                    <a:ln>
                      <a:noFill/>
                    </a:ln>
                  </pic:spPr>
                </pic:pic>
              </a:graphicData>
            </a:graphic>
          </wp:inline>
        </w:drawing>
      </w:r>
    </w:p>
    <w:p>
      <w:pPr>
        <w:rPr>
          <w:rFonts w:hint="eastAsia"/>
        </w:rPr>
      </w:pPr>
    </w:p>
    <w:p>
      <w:pPr>
        <w:spacing w:line="360" w:lineRule="auto"/>
      </w:pPr>
    </w:p>
    <w:p>
      <w:pPr>
        <w:pStyle w:val="3"/>
        <w:numPr>
          <w:ilvl w:val="1"/>
          <w:numId w:val="3"/>
        </w:numPr>
        <w:ind w:left="1407" w:leftChars="0" w:firstLineChars="0"/>
        <w:rPr>
          <w:rFonts w:hint="eastAsia"/>
        </w:rPr>
      </w:pPr>
      <w:r>
        <w:rPr>
          <w:rFonts w:hint="eastAsia"/>
          <w:lang w:val="en-US" w:eastAsia="zh-CN"/>
        </w:rPr>
        <w:t>报送管理</w:t>
      </w:r>
    </w:p>
    <w:p>
      <w:pPr>
        <w:spacing w:line="360" w:lineRule="auto"/>
        <w:ind w:firstLine="480" w:firstLineChars="20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省级、市级、县级、机构管理员，可对当前所属农技人员与农技机构进行审核与提交上报操作，点击左侧“报送管理”，如下图所示为当前区县报送管理页面，管理员可在该页面查询机构与人员是否已上报，并可对已上报的农技机构进行单独审核如下图所示：</w:t>
      </w:r>
    </w:p>
    <w:p>
      <w:pPr>
        <w:spacing w:line="360" w:lineRule="auto"/>
      </w:pPr>
      <w:r>
        <w:drawing>
          <wp:inline distT="0" distB="0" distL="114300" distR="114300">
            <wp:extent cx="5259705" cy="2564130"/>
            <wp:effectExtent l="0" t="0" r="1714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259705" cy="2564130"/>
                    </a:xfrm>
                    <a:prstGeom prst="rect">
                      <a:avLst/>
                    </a:prstGeom>
                    <a:noFill/>
                    <a:ln>
                      <a:noFill/>
                    </a:ln>
                  </pic:spPr>
                </pic:pic>
              </a:graphicData>
            </a:graphic>
          </wp:inline>
        </w:drawing>
      </w:r>
    </w:p>
    <w:p>
      <w:pPr>
        <w:pStyle w:val="11"/>
        <w:spacing w:line="360" w:lineRule="auto"/>
        <w:jc w:val="center"/>
        <w:rPr>
          <w:rFonts w:hint="eastAsia"/>
          <w:lang w:val="en-US" w:eastAsia="zh-CN"/>
        </w:rPr>
      </w:pPr>
      <w:r>
        <w:rPr>
          <w:rFonts w:hint="eastAsia"/>
          <w:lang w:val="en-US" w:eastAsia="zh-CN"/>
        </w:rPr>
        <w:t>报送管理页面</w:t>
      </w:r>
    </w:p>
    <w:p>
      <w:pPr>
        <w:rPr>
          <w:rFonts w:hint="eastAsia"/>
          <w:lang w:val="en-US" w:eastAsia="zh-CN"/>
        </w:rPr>
      </w:pPr>
    </w:p>
    <w:p>
      <w:pPr>
        <w:spacing w:line="360" w:lineRule="auto"/>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省级管理员：</w:t>
      </w:r>
      <w:r>
        <w:rPr>
          <w:rFonts w:hint="eastAsia" w:asciiTheme="minorEastAsia" w:hAnsiTheme="minorEastAsia"/>
          <w:sz w:val="24"/>
          <w:szCs w:val="24"/>
          <w:lang w:val="en-US" w:eastAsia="zh-CN"/>
        </w:rPr>
        <w:t>省级管理员可查看当前省的市、县区以及农技机构的数据提交情况，并可对该省所有农技机构与农技人员数据进行修改并提交，省级提交后，该省所有农技人员与农技机构不可再次修改，如需修改可让部级管理员进行退回操作。</w:t>
      </w:r>
    </w:p>
    <w:p>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57800" cy="2408555"/>
            <wp:effectExtent l="0" t="0" r="0" b="10795"/>
            <wp:docPr id="7" name="图片 7" descr="1618393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18393739(1)"/>
                    <pic:cNvPicPr>
                      <a:picLocks noChangeAspect="1"/>
                    </pic:cNvPicPr>
                  </pic:nvPicPr>
                  <pic:blipFill>
                    <a:blip r:embed="rId19"/>
                    <a:stretch>
                      <a:fillRect/>
                    </a:stretch>
                  </pic:blipFill>
                  <pic:spPr>
                    <a:xfrm>
                      <a:off x="0" y="0"/>
                      <a:ext cx="5257800" cy="2408555"/>
                    </a:xfrm>
                    <a:prstGeom prst="rect">
                      <a:avLst/>
                    </a:prstGeom>
                  </pic:spPr>
                </pic:pic>
              </a:graphicData>
            </a:graphic>
          </wp:inline>
        </w:drawing>
      </w:r>
    </w:p>
    <w:p>
      <w:pPr>
        <w:spacing w:line="360" w:lineRule="auto"/>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市级</w:t>
      </w:r>
      <w:bookmarkStart w:id="4" w:name="_GoBack"/>
      <w:r>
        <w:rPr>
          <w:rFonts w:hint="eastAsia" w:asciiTheme="minorEastAsia" w:hAnsiTheme="minorEastAsia"/>
          <w:b/>
          <w:bCs/>
          <w:sz w:val="24"/>
          <w:szCs w:val="24"/>
          <w:lang w:val="en-US" w:eastAsia="zh-CN"/>
        </w:rPr>
        <w:t>管理员：</w:t>
      </w:r>
      <w:r>
        <w:rPr>
          <w:rFonts w:hint="eastAsia" w:asciiTheme="minorEastAsia" w:hAnsiTheme="minorEastAsia"/>
          <w:sz w:val="24"/>
          <w:szCs w:val="24"/>
          <w:lang w:val="en-US" w:eastAsia="zh-CN"/>
        </w:rPr>
        <w:t>市级管理员可查看当前市所有区县以及农技机构的数据提交情况，并可对该市所有农技机构与农技人员数据进行修改并提交，市级提交后，该市所有农技人员与农技机构数据不可再次修改，如需修</w:t>
      </w:r>
      <w:bookmarkEnd w:id="4"/>
      <w:r>
        <w:rPr>
          <w:rFonts w:hint="eastAsia" w:asciiTheme="minorEastAsia" w:hAnsiTheme="minorEastAsia"/>
          <w:sz w:val="24"/>
          <w:szCs w:val="24"/>
          <w:lang w:val="en-US" w:eastAsia="zh-CN"/>
        </w:rPr>
        <w:t>改可让省级管理员进行退回操作。</w:t>
      </w:r>
    </w:p>
    <w:p>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5269230" cy="2232660"/>
            <wp:effectExtent l="0" t="0" r="7620" b="15240"/>
            <wp:docPr id="8" name="图片 8" descr="1618393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18393841(1)"/>
                    <pic:cNvPicPr>
                      <a:picLocks noChangeAspect="1"/>
                    </pic:cNvPicPr>
                  </pic:nvPicPr>
                  <pic:blipFill>
                    <a:blip r:embed="rId20"/>
                    <a:stretch>
                      <a:fillRect/>
                    </a:stretch>
                  </pic:blipFill>
                  <pic:spPr>
                    <a:xfrm>
                      <a:off x="0" y="0"/>
                      <a:ext cx="5269230" cy="2232660"/>
                    </a:xfrm>
                    <a:prstGeom prst="rect">
                      <a:avLst/>
                    </a:prstGeom>
                  </pic:spPr>
                </pic:pic>
              </a:graphicData>
            </a:graphic>
          </wp:inline>
        </w:drawing>
      </w:r>
    </w:p>
    <w:p>
      <w:pPr>
        <w:spacing w:line="360" w:lineRule="auto"/>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县级管理员：</w:t>
      </w:r>
      <w:r>
        <w:rPr>
          <w:rFonts w:hint="eastAsia" w:asciiTheme="minorEastAsia" w:hAnsiTheme="minorEastAsia"/>
          <w:b w:val="0"/>
          <w:bCs w:val="0"/>
          <w:sz w:val="24"/>
          <w:szCs w:val="24"/>
          <w:lang w:val="en-US" w:eastAsia="zh-CN"/>
        </w:rPr>
        <w:t>县</w:t>
      </w:r>
      <w:r>
        <w:rPr>
          <w:rFonts w:hint="eastAsia" w:asciiTheme="minorEastAsia" w:hAnsiTheme="minorEastAsia"/>
          <w:sz w:val="24"/>
          <w:szCs w:val="24"/>
          <w:lang w:val="en-US" w:eastAsia="zh-CN"/>
        </w:rPr>
        <w:t>级管理员可查看当前县所有农技机构与农技人员的的数据提交情况，并可对该县所有农技机构与农技人员数据进行修改与提交，县级提交后，该市所有农技人员与农技机构数据不可再次修改，如需修改可让市级管理员进行退回操作。</w:t>
      </w:r>
    </w:p>
    <w:p>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drawing>
          <wp:inline distT="0" distB="0" distL="114300" distR="114300">
            <wp:extent cx="5264785" cy="2046605"/>
            <wp:effectExtent l="0" t="0" r="12065" b="10795"/>
            <wp:docPr id="9" name="图片 9" descr="1618393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8393990(1)"/>
                    <pic:cNvPicPr>
                      <a:picLocks noChangeAspect="1"/>
                    </pic:cNvPicPr>
                  </pic:nvPicPr>
                  <pic:blipFill>
                    <a:blip r:embed="rId21"/>
                    <a:stretch>
                      <a:fillRect/>
                    </a:stretch>
                  </pic:blipFill>
                  <pic:spPr>
                    <a:xfrm>
                      <a:off x="0" y="0"/>
                      <a:ext cx="5264785" cy="2046605"/>
                    </a:xfrm>
                    <a:prstGeom prst="rect">
                      <a:avLst/>
                    </a:prstGeom>
                  </pic:spPr>
                </pic:pic>
              </a:graphicData>
            </a:graphic>
          </wp:inline>
        </w:drawing>
      </w:r>
    </w:p>
    <w:p>
      <w:pPr>
        <w:spacing w:line="360" w:lineRule="auto"/>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机构管理员：</w:t>
      </w:r>
      <w:r>
        <w:rPr>
          <w:rFonts w:hint="eastAsia" w:asciiTheme="minorEastAsia" w:hAnsiTheme="minorEastAsia"/>
          <w:sz w:val="24"/>
          <w:szCs w:val="24"/>
          <w:lang w:val="en-US" w:eastAsia="zh-CN"/>
        </w:rPr>
        <w:t>机构管理员可登录督促并完善当前机构的基本信息与农技人员的基础信息，可对当前农技人员和农技机构的数据进行增加与修改操作。机构提交后，该机构所有农技人员与农技机构数据不可再次修改，如需修改可让县级管理员进行退回操作。</w:t>
      </w:r>
    </w:p>
    <w:p>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drawing>
          <wp:inline distT="0" distB="0" distL="114300" distR="114300">
            <wp:extent cx="5258435" cy="1931035"/>
            <wp:effectExtent l="0" t="0" r="18415" b="12065"/>
            <wp:docPr id="11" name="图片 11" descr="1618394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8394125(1)"/>
                    <pic:cNvPicPr>
                      <a:picLocks noChangeAspect="1"/>
                    </pic:cNvPicPr>
                  </pic:nvPicPr>
                  <pic:blipFill>
                    <a:blip r:embed="rId22"/>
                    <a:stretch>
                      <a:fillRect/>
                    </a:stretch>
                  </pic:blipFill>
                  <pic:spPr>
                    <a:xfrm>
                      <a:off x="0" y="0"/>
                      <a:ext cx="5258435" cy="1931035"/>
                    </a:xfrm>
                    <a:prstGeom prst="rect">
                      <a:avLst/>
                    </a:prstGeom>
                  </pic:spPr>
                </pic:pic>
              </a:graphicData>
            </a:graphic>
          </wp:inline>
        </w:drawing>
      </w:r>
    </w:p>
    <w:p>
      <w:pPr>
        <w:spacing w:line="360" w:lineRule="auto"/>
        <w:jc w:val="center"/>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农技机构完善信息界面</w:t>
      </w:r>
    </w:p>
    <w:p>
      <w:pPr>
        <w:spacing w:line="360" w:lineRule="auto"/>
        <w:rPr>
          <w:rFonts w:hint="eastAsia" w:asciiTheme="minorEastAsia" w:hAnsiTheme="minorEastAsia"/>
          <w:sz w:val="24"/>
          <w:szCs w:val="24"/>
          <w:lang w:val="en-US" w:eastAsia="zh-CN"/>
        </w:rPr>
      </w:pPr>
      <w:r>
        <w:rPr>
          <w:rFonts w:hint="eastAsia" w:asciiTheme="minorEastAsia" w:hAnsiTheme="minorEastAsia"/>
          <w:b/>
          <w:bCs/>
          <w:sz w:val="24"/>
          <w:szCs w:val="24"/>
          <w:lang w:val="en-US" w:eastAsia="zh-CN"/>
        </w:rPr>
        <w:t>农技人员：</w:t>
      </w:r>
      <w:r>
        <w:rPr>
          <w:rFonts w:hint="eastAsia" w:asciiTheme="minorEastAsia" w:hAnsiTheme="minorEastAsia"/>
          <w:b w:val="0"/>
          <w:bCs w:val="0"/>
          <w:sz w:val="24"/>
          <w:szCs w:val="24"/>
          <w:lang w:val="en-US" w:eastAsia="zh-CN"/>
        </w:rPr>
        <w:t>农技人员</w:t>
      </w:r>
      <w:r>
        <w:rPr>
          <w:rFonts w:hint="eastAsia" w:asciiTheme="minorEastAsia" w:hAnsiTheme="minorEastAsia"/>
          <w:sz w:val="24"/>
          <w:szCs w:val="24"/>
          <w:lang w:val="en-US" w:eastAsia="zh-CN"/>
        </w:rPr>
        <w:t>可登录科教云平台的系统管理进行个人信息完善，并提交机构管理员进行审核操作。</w:t>
      </w:r>
    </w:p>
    <w:p>
      <w:pPr>
        <w:spacing w:line="360" w:lineRule="auto"/>
        <w:rPr>
          <w:rFonts w:hint="eastAsia" w:asciiTheme="minorEastAsia" w:hAnsiTheme="minorEastAsia"/>
          <w:sz w:val="24"/>
          <w:szCs w:val="24"/>
          <w:lang w:val="en-US" w:eastAsia="zh-CN"/>
        </w:rPr>
      </w:pPr>
    </w:p>
    <w:p>
      <w:pPr>
        <w:spacing w:line="360" w:lineRule="auto"/>
        <w:rPr>
          <w:rFonts w:hint="default" w:asciiTheme="minorEastAsia" w:hAnsiTheme="minorEastAsia"/>
          <w:sz w:val="24"/>
          <w:szCs w:val="24"/>
          <w:lang w:val="en-US" w:eastAsia="zh-CN"/>
        </w:rPr>
      </w:pPr>
    </w:p>
    <w:p>
      <w:pPr>
        <w:spacing w:line="360" w:lineRule="auto"/>
        <w:rPr>
          <w:rFonts w:hint="default" w:asciiTheme="minorEastAsia" w:hAnsiTheme="minorEastAsia"/>
          <w:sz w:val="24"/>
          <w:szCs w:val="24"/>
          <w:lang w:val="en-US" w:eastAsia="zh-CN"/>
        </w:rPr>
      </w:pPr>
    </w:p>
    <w:sectPr>
      <w:footerReference r:id="rId5" w:type="first"/>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3208673"/>
    </w:sdtPr>
    <w:sdtContent>
      <w:p>
        <w:pPr>
          <w:pStyle w:val="15"/>
          <w:jc w:val="center"/>
        </w:pPr>
        <w:r>
          <w:fldChar w:fldCharType="begin"/>
        </w:r>
        <w:r>
          <w:instrText xml:space="preserve">PAGE   \* MERGEFORMAT</w:instrText>
        </w:r>
        <w:r>
          <w:fldChar w:fldCharType="separate"/>
        </w:r>
        <w:r>
          <w:rPr>
            <w:lang w:val="zh-CN"/>
          </w:rPr>
          <w:t>12</w:t>
        </w:r>
        <w:r>
          <w:fldChar w:fldCharType="end"/>
        </w:r>
      </w:p>
    </w:sdtContent>
  </w:sdt>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p>
  <w:p>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中国农技推广APP与信息服务平台培训教材</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B0648"/>
    <w:multiLevelType w:val="multilevel"/>
    <w:tmpl w:val="01CB0648"/>
    <w:lvl w:ilvl="0" w:tentative="0">
      <w:start w:val="1"/>
      <w:numFmt w:val="decimal"/>
      <w:lvlText w:val="%1"/>
      <w:lvlJc w:val="left"/>
      <w:pPr>
        <w:ind w:left="425" w:hanging="425"/>
      </w:pPr>
    </w:lvl>
    <w:lvl w:ilvl="1" w:tentative="0">
      <w:start w:val="1"/>
      <w:numFmt w:val="decimal"/>
      <w:lvlText w:val="%1.%2"/>
      <w:lvlJc w:val="left"/>
      <w:pPr>
        <w:ind w:left="1407"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0BC00255"/>
    <w:multiLevelType w:val="multilevel"/>
    <w:tmpl w:val="0BC00255"/>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59DF37B2"/>
    <w:multiLevelType w:val="multilevel"/>
    <w:tmpl w:val="59DF37B2"/>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2.5.4.%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2723"/>
    <w:rsid w:val="00005051"/>
    <w:rsid w:val="0001441A"/>
    <w:rsid w:val="000206B3"/>
    <w:rsid w:val="00032C23"/>
    <w:rsid w:val="000442E2"/>
    <w:rsid w:val="0004459F"/>
    <w:rsid w:val="00063AB5"/>
    <w:rsid w:val="000801F6"/>
    <w:rsid w:val="000839C0"/>
    <w:rsid w:val="00093EAA"/>
    <w:rsid w:val="00095F3A"/>
    <w:rsid w:val="000B34C4"/>
    <w:rsid w:val="000B5F70"/>
    <w:rsid w:val="000C79B9"/>
    <w:rsid w:val="000D448F"/>
    <w:rsid w:val="000F1383"/>
    <w:rsid w:val="000F4D33"/>
    <w:rsid w:val="00101185"/>
    <w:rsid w:val="0012331F"/>
    <w:rsid w:val="00143057"/>
    <w:rsid w:val="001509E5"/>
    <w:rsid w:val="00152C03"/>
    <w:rsid w:val="00152C65"/>
    <w:rsid w:val="00157C8F"/>
    <w:rsid w:val="00184CF1"/>
    <w:rsid w:val="001871E3"/>
    <w:rsid w:val="001A6D39"/>
    <w:rsid w:val="001B049B"/>
    <w:rsid w:val="001D5EA6"/>
    <w:rsid w:val="001E0B1F"/>
    <w:rsid w:val="001E405F"/>
    <w:rsid w:val="001E552B"/>
    <w:rsid w:val="001F0831"/>
    <w:rsid w:val="001F4B26"/>
    <w:rsid w:val="001F689D"/>
    <w:rsid w:val="00212619"/>
    <w:rsid w:val="002207C9"/>
    <w:rsid w:val="002326BA"/>
    <w:rsid w:val="00245871"/>
    <w:rsid w:val="00246307"/>
    <w:rsid w:val="00260297"/>
    <w:rsid w:val="00264EB5"/>
    <w:rsid w:val="00274C72"/>
    <w:rsid w:val="00280743"/>
    <w:rsid w:val="00280B65"/>
    <w:rsid w:val="002818AA"/>
    <w:rsid w:val="00285B2A"/>
    <w:rsid w:val="00286120"/>
    <w:rsid w:val="002905DB"/>
    <w:rsid w:val="00293129"/>
    <w:rsid w:val="002C3581"/>
    <w:rsid w:val="002D7583"/>
    <w:rsid w:val="002E22B0"/>
    <w:rsid w:val="002F5FA5"/>
    <w:rsid w:val="00305306"/>
    <w:rsid w:val="00306991"/>
    <w:rsid w:val="00311380"/>
    <w:rsid w:val="00312BCE"/>
    <w:rsid w:val="003132C0"/>
    <w:rsid w:val="00331D65"/>
    <w:rsid w:val="00331F3D"/>
    <w:rsid w:val="00341259"/>
    <w:rsid w:val="00345A5F"/>
    <w:rsid w:val="00351510"/>
    <w:rsid w:val="00353A1D"/>
    <w:rsid w:val="00354AD9"/>
    <w:rsid w:val="003862A2"/>
    <w:rsid w:val="0039462C"/>
    <w:rsid w:val="003A1267"/>
    <w:rsid w:val="003B2BC9"/>
    <w:rsid w:val="003D7A7E"/>
    <w:rsid w:val="003E6460"/>
    <w:rsid w:val="003F0DE5"/>
    <w:rsid w:val="003F5F29"/>
    <w:rsid w:val="00402169"/>
    <w:rsid w:val="00404138"/>
    <w:rsid w:val="004102C7"/>
    <w:rsid w:val="0042170D"/>
    <w:rsid w:val="00421713"/>
    <w:rsid w:val="00430E2F"/>
    <w:rsid w:val="00441BAD"/>
    <w:rsid w:val="00441BE7"/>
    <w:rsid w:val="00443968"/>
    <w:rsid w:val="004539D4"/>
    <w:rsid w:val="00457CB5"/>
    <w:rsid w:val="00457DBD"/>
    <w:rsid w:val="00465EFD"/>
    <w:rsid w:val="004664EC"/>
    <w:rsid w:val="00466D05"/>
    <w:rsid w:val="00472DBD"/>
    <w:rsid w:val="004745D7"/>
    <w:rsid w:val="00490260"/>
    <w:rsid w:val="004904A1"/>
    <w:rsid w:val="00496751"/>
    <w:rsid w:val="004A29F8"/>
    <w:rsid w:val="004B215E"/>
    <w:rsid w:val="004B582E"/>
    <w:rsid w:val="004C2A16"/>
    <w:rsid w:val="004E167D"/>
    <w:rsid w:val="004E521C"/>
    <w:rsid w:val="004F2EE6"/>
    <w:rsid w:val="004F3753"/>
    <w:rsid w:val="004F695F"/>
    <w:rsid w:val="004F69CF"/>
    <w:rsid w:val="004F6BD9"/>
    <w:rsid w:val="0051021F"/>
    <w:rsid w:val="00513DDB"/>
    <w:rsid w:val="00517577"/>
    <w:rsid w:val="00524E1F"/>
    <w:rsid w:val="005413BE"/>
    <w:rsid w:val="00541E5B"/>
    <w:rsid w:val="005421A6"/>
    <w:rsid w:val="00552C9E"/>
    <w:rsid w:val="00553CA0"/>
    <w:rsid w:val="00557D5A"/>
    <w:rsid w:val="005613D1"/>
    <w:rsid w:val="00563EF7"/>
    <w:rsid w:val="005708FA"/>
    <w:rsid w:val="0057422C"/>
    <w:rsid w:val="00586F51"/>
    <w:rsid w:val="00597C4A"/>
    <w:rsid w:val="005C4F4F"/>
    <w:rsid w:val="005C5E83"/>
    <w:rsid w:val="005C6779"/>
    <w:rsid w:val="005E2248"/>
    <w:rsid w:val="005E4E6C"/>
    <w:rsid w:val="005F3094"/>
    <w:rsid w:val="005F5531"/>
    <w:rsid w:val="005F5D34"/>
    <w:rsid w:val="005F5E49"/>
    <w:rsid w:val="005F72CE"/>
    <w:rsid w:val="00603BCF"/>
    <w:rsid w:val="00606F0A"/>
    <w:rsid w:val="00610A2C"/>
    <w:rsid w:val="00610EB1"/>
    <w:rsid w:val="00611D87"/>
    <w:rsid w:val="006218BE"/>
    <w:rsid w:val="00630A82"/>
    <w:rsid w:val="00632BF8"/>
    <w:rsid w:val="0064772D"/>
    <w:rsid w:val="00650173"/>
    <w:rsid w:val="0065065B"/>
    <w:rsid w:val="00655D57"/>
    <w:rsid w:val="00656A17"/>
    <w:rsid w:val="00656E2E"/>
    <w:rsid w:val="00660E81"/>
    <w:rsid w:val="0066584E"/>
    <w:rsid w:val="00676F0A"/>
    <w:rsid w:val="00682648"/>
    <w:rsid w:val="006933C4"/>
    <w:rsid w:val="00693B7D"/>
    <w:rsid w:val="006A0901"/>
    <w:rsid w:val="006A35F9"/>
    <w:rsid w:val="006B0B16"/>
    <w:rsid w:val="006B4895"/>
    <w:rsid w:val="006C06AC"/>
    <w:rsid w:val="006C590A"/>
    <w:rsid w:val="006C5ED3"/>
    <w:rsid w:val="006E26DA"/>
    <w:rsid w:val="006E58BA"/>
    <w:rsid w:val="006F039E"/>
    <w:rsid w:val="00703858"/>
    <w:rsid w:val="00705DAE"/>
    <w:rsid w:val="0071406F"/>
    <w:rsid w:val="00730C14"/>
    <w:rsid w:val="00750AFE"/>
    <w:rsid w:val="00756D4A"/>
    <w:rsid w:val="00773BE6"/>
    <w:rsid w:val="00796C15"/>
    <w:rsid w:val="007A6945"/>
    <w:rsid w:val="007A72B0"/>
    <w:rsid w:val="007C0E56"/>
    <w:rsid w:val="007C7667"/>
    <w:rsid w:val="007D21EE"/>
    <w:rsid w:val="007E7C0E"/>
    <w:rsid w:val="007F2F2E"/>
    <w:rsid w:val="007F4848"/>
    <w:rsid w:val="00801F87"/>
    <w:rsid w:val="00804DE0"/>
    <w:rsid w:val="0081591C"/>
    <w:rsid w:val="00820A1D"/>
    <w:rsid w:val="00850B99"/>
    <w:rsid w:val="00856CCA"/>
    <w:rsid w:val="008649FF"/>
    <w:rsid w:val="0087586B"/>
    <w:rsid w:val="00884A26"/>
    <w:rsid w:val="00897D3C"/>
    <w:rsid w:val="008B0516"/>
    <w:rsid w:val="008C3F4B"/>
    <w:rsid w:val="008C5BBE"/>
    <w:rsid w:val="008D2CAF"/>
    <w:rsid w:val="008D416B"/>
    <w:rsid w:val="008D4FEF"/>
    <w:rsid w:val="008F4E77"/>
    <w:rsid w:val="008F7871"/>
    <w:rsid w:val="009060FC"/>
    <w:rsid w:val="00907366"/>
    <w:rsid w:val="0092281D"/>
    <w:rsid w:val="00935D48"/>
    <w:rsid w:val="00941117"/>
    <w:rsid w:val="00942801"/>
    <w:rsid w:val="00943195"/>
    <w:rsid w:val="00945634"/>
    <w:rsid w:val="00945A8E"/>
    <w:rsid w:val="00953B26"/>
    <w:rsid w:val="00964395"/>
    <w:rsid w:val="009834C7"/>
    <w:rsid w:val="00985948"/>
    <w:rsid w:val="00991A31"/>
    <w:rsid w:val="00992450"/>
    <w:rsid w:val="00993395"/>
    <w:rsid w:val="009B0899"/>
    <w:rsid w:val="009B1DB7"/>
    <w:rsid w:val="009B508C"/>
    <w:rsid w:val="009C701D"/>
    <w:rsid w:val="009D47B0"/>
    <w:rsid w:val="009D6287"/>
    <w:rsid w:val="009E539D"/>
    <w:rsid w:val="009F0AE9"/>
    <w:rsid w:val="00A01D41"/>
    <w:rsid w:val="00A247DA"/>
    <w:rsid w:val="00A32CC6"/>
    <w:rsid w:val="00A35157"/>
    <w:rsid w:val="00A47983"/>
    <w:rsid w:val="00A47B30"/>
    <w:rsid w:val="00A523F5"/>
    <w:rsid w:val="00A53C70"/>
    <w:rsid w:val="00A618CE"/>
    <w:rsid w:val="00A72EC9"/>
    <w:rsid w:val="00A77AAB"/>
    <w:rsid w:val="00A81420"/>
    <w:rsid w:val="00A8331A"/>
    <w:rsid w:val="00A96499"/>
    <w:rsid w:val="00AA25FF"/>
    <w:rsid w:val="00AC3015"/>
    <w:rsid w:val="00AD051D"/>
    <w:rsid w:val="00AD5A01"/>
    <w:rsid w:val="00AE201E"/>
    <w:rsid w:val="00AE5A74"/>
    <w:rsid w:val="00AE6387"/>
    <w:rsid w:val="00B03083"/>
    <w:rsid w:val="00B03680"/>
    <w:rsid w:val="00B1060A"/>
    <w:rsid w:val="00B254B6"/>
    <w:rsid w:val="00B443C0"/>
    <w:rsid w:val="00B47CB6"/>
    <w:rsid w:val="00B50530"/>
    <w:rsid w:val="00B518AF"/>
    <w:rsid w:val="00B62328"/>
    <w:rsid w:val="00B64273"/>
    <w:rsid w:val="00B67872"/>
    <w:rsid w:val="00B74D74"/>
    <w:rsid w:val="00B82A30"/>
    <w:rsid w:val="00B94018"/>
    <w:rsid w:val="00B947A9"/>
    <w:rsid w:val="00B96047"/>
    <w:rsid w:val="00BB63D9"/>
    <w:rsid w:val="00BC61FF"/>
    <w:rsid w:val="00BD478B"/>
    <w:rsid w:val="00BD569B"/>
    <w:rsid w:val="00BE3654"/>
    <w:rsid w:val="00BE4E1A"/>
    <w:rsid w:val="00C12563"/>
    <w:rsid w:val="00C16084"/>
    <w:rsid w:val="00C268B2"/>
    <w:rsid w:val="00C27483"/>
    <w:rsid w:val="00C3209E"/>
    <w:rsid w:val="00C329EB"/>
    <w:rsid w:val="00C341ED"/>
    <w:rsid w:val="00C343F3"/>
    <w:rsid w:val="00C50850"/>
    <w:rsid w:val="00C52F77"/>
    <w:rsid w:val="00C619F1"/>
    <w:rsid w:val="00C623CF"/>
    <w:rsid w:val="00C85BEF"/>
    <w:rsid w:val="00C85EB7"/>
    <w:rsid w:val="00C876E9"/>
    <w:rsid w:val="00C87D2E"/>
    <w:rsid w:val="00CB513A"/>
    <w:rsid w:val="00CB77C5"/>
    <w:rsid w:val="00CC779A"/>
    <w:rsid w:val="00CD10CA"/>
    <w:rsid w:val="00CE1D35"/>
    <w:rsid w:val="00CE2684"/>
    <w:rsid w:val="00CE350C"/>
    <w:rsid w:val="00CE4E55"/>
    <w:rsid w:val="00D00B9A"/>
    <w:rsid w:val="00D0370C"/>
    <w:rsid w:val="00D03F7B"/>
    <w:rsid w:val="00D128A9"/>
    <w:rsid w:val="00D13397"/>
    <w:rsid w:val="00D17CA7"/>
    <w:rsid w:val="00D317D0"/>
    <w:rsid w:val="00D4048D"/>
    <w:rsid w:val="00D46EE8"/>
    <w:rsid w:val="00D558DE"/>
    <w:rsid w:val="00D625F1"/>
    <w:rsid w:val="00D825EA"/>
    <w:rsid w:val="00D86726"/>
    <w:rsid w:val="00D86BC4"/>
    <w:rsid w:val="00D941B6"/>
    <w:rsid w:val="00D953C4"/>
    <w:rsid w:val="00DA4BB2"/>
    <w:rsid w:val="00DB391A"/>
    <w:rsid w:val="00DC727A"/>
    <w:rsid w:val="00DD481E"/>
    <w:rsid w:val="00DD6666"/>
    <w:rsid w:val="00DE2C86"/>
    <w:rsid w:val="00DE52FF"/>
    <w:rsid w:val="00DF072A"/>
    <w:rsid w:val="00DF60AE"/>
    <w:rsid w:val="00DF672C"/>
    <w:rsid w:val="00E0469E"/>
    <w:rsid w:val="00E06BB8"/>
    <w:rsid w:val="00E10A33"/>
    <w:rsid w:val="00E2442A"/>
    <w:rsid w:val="00E31228"/>
    <w:rsid w:val="00E33D9E"/>
    <w:rsid w:val="00E33E93"/>
    <w:rsid w:val="00E45DC5"/>
    <w:rsid w:val="00E54355"/>
    <w:rsid w:val="00E55D6D"/>
    <w:rsid w:val="00E752B6"/>
    <w:rsid w:val="00E77E81"/>
    <w:rsid w:val="00E8431D"/>
    <w:rsid w:val="00E9267C"/>
    <w:rsid w:val="00E92723"/>
    <w:rsid w:val="00E92D0E"/>
    <w:rsid w:val="00E9415F"/>
    <w:rsid w:val="00E96E6C"/>
    <w:rsid w:val="00E96F57"/>
    <w:rsid w:val="00E97355"/>
    <w:rsid w:val="00EA3F68"/>
    <w:rsid w:val="00EB7B1D"/>
    <w:rsid w:val="00EC1708"/>
    <w:rsid w:val="00EC7B3C"/>
    <w:rsid w:val="00ED2859"/>
    <w:rsid w:val="00EE3DD5"/>
    <w:rsid w:val="00EF6213"/>
    <w:rsid w:val="00F014BD"/>
    <w:rsid w:val="00F219C8"/>
    <w:rsid w:val="00F43AAF"/>
    <w:rsid w:val="00F6698C"/>
    <w:rsid w:val="00F66F7B"/>
    <w:rsid w:val="00F75BD7"/>
    <w:rsid w:val="00F80998"/>
    <w:rsid w:val="00F82ECC"/>
    <w:rsid w:val="00F87AFD"/>
    <w:rsid w:val="00F92291"/>
    <w:rsid w:val="00F95F85"/>
    <w:rsid w:val="00FA0E74"/>
    <w:rsid w:val="00FA5B9F"/>
    <w:rsid w:val="00FA69B9"/>
    <w:rsid w:val="00FC0890"/>
    <w:rsid w:val="00FC5450"/>
    <w:rsid w:val="00FD3FA7"/>
    <w:rsid w:val="00FE1EDF"/>
    <w:rsid w:val="00FE2613"/>
    <w:rsid w:val="00FE498C"/>
    <w:rsid w:val="00FE680E"/>
    <w:rsid w:val="00FE7935"/>
    <w:rsid w:val="00FF2834"/>
    <w:rsid w:val="00FF5B92"/>
    <w:rsid w:val="03034674"/>
    <w:rsid w:val="03C72A23"/>
    <w:rsid w:val="040775EF"/>
    <w:rsid w:val="04615AFB"/>
    <w:rsid w:val="055436E9"/>
    <w:rsid w:val="06B27C35"/>
    <w:rsid w:val="09101427"/>
    <w:rsid w:val="0AEF011C"/>
    <w:rsid w:val="0B6D2209"/>
    <w:rsid w:val="0B7016D4"/>
    <w:rsid w:val="0D3F6562"/>
    <w:rsid w:val="0D8A0FC1"/>
    <w:rsid w:val="0E552040"/>
    <w:rsid w:val="0F271A7E"/>
    <w:rsid w:val="0F3E151A"/>
    <w:rsid w:val="0FE50398"/>
    <w:rsid w:val="1297646C"/>
    <w:rsid w:val="12B0648F"/>
    <w:rsid w:val="12CB1B70"/>
    <w:rsid w:val="153A72B0"/>
    <w:rsid w:val="15CD190C"/>
    <w:rsid w:val="16240E19"/>
    <w:rsid w:val="16D55A80"/>
    <w:rsid w:val="186E4819"/>
    <w:rsid w:val="18D471D7"/>
    <w:rsid w:val="190E4502"/>
    <w:rsid w:val="19BC1D7B"/>
    <w:rsid w:val="1A033799"/>
    <w:rsid w:val="1AF46401"/>
    <w:rsid w:val="1B170F81"/>
    <w:rsid w:val="1B822AAE"/>
    <w:rsid w:val="1C22201A"/>
    <w:rsid w:val="1DB1344E"/>
    <w:rsid w:val="1DC415DE"/>
    <w:rsid w:val="1E467A91"/>
    <w:rsid w:val="1F21249A"/>
    <w:rsid w:val="1F8858F2"/>
    <w:rsid w:val="205F5DDE"/>
    <w:rsid w:val="21217577"/>
    <w:rsid w:val="21E84D66"/>
    <w:rsid w:val="229224AE"/>
    <w:rsid w:val="241204F9"/>
    <w:rsid w:val="247858E1"/>
    <w:rsid w:val="24FC6125"/>
    <w:rsid w:val="25155E01"/>
    <w:rsid w:val="256438AB"/>
    <w:rsid w:val="257F264B"/>
    <w:rsid w:val="261D2FE4"/>
    <w:rsid w:val="27AB53B8"/>
    <w:rsid w:val="282D2BC9"/>
    <w:rsid w:val="29886826"/>
    <w:rsid w:val="2A74721A"/>
    <w:rsid w:val="2ABF58AE"/>
    <w:rsid w:val="2C7F6644"/>
    <w:rsid w:val="2D5577C6"/>
    <w:rsid w:val="2E734531"/>
    <w:rsid w:val="2ED12551"/>
    <w:rsid w:val="2ED325B5"/>
    <w:rsid w:val="2F9574F2"/>
    <w:rsid w:val="2FE51EB9"/>
    <w:rsid w:val="31462204"/>
    <w:rsid w:val="318B4725"/>
    <w:rsid w:val="33343640"/>
    <w:rsid w:val="338355E3"/>
    <w:rsid w:val="33B96932"/>
    <w:rsid w:val="340A2C20"/>
    <w:rsid w:val="3775794A"/>
    <w:rsid w:val="39205757"/>
    <w:rsid w:val="39630A35"/>
    <w:rsid w:val="3ADF3232"/>
    <w:rsid w:val="3D762BC6"/>
    <w:rsid w:val="3DE75F69"/>
    <w:rsid w:val="3F863BA8"/>
    <w:rsid w:val="43DE618B"/>
    <w:rsid w:val="441E044F"/>
    <w:rsid w:val="444950CF"/>
    <w:rsid w:val="445A12A2"/>
    <w:rsid w:val="453A2694"/>
    <w:rsid w:val="457A14ED"/>
    <w:rsid w:val="458360CA"/>
    <w:rsid w:val="4749016D"/>
    <w:rsid w:val="477A2353"/>
    <w:rsid w:val="484B4C35"/>
    <w:rsid w:val="48721205"/>
    <w:rsid w:val="487E6040"/>
    <w:rsid w:val="4A974BEE"/>
    <w:rsid w:val="4DCF2BB3"/>
    <w:rsid w:val="4F694E50"/>
    <w:rsid w:val="4F9073CE"/>
    <w:rsid w:val="508B2035"/>
    <w:rsid w:val="534A5E25"/>
    <w:rsid w:val="541731B8"/>
    <w:rsid w:val="55330D59"/>
    <w:rsid w:val="55342DF6"/>
    <w:rsid w:val="55A57D7F"/>
    <w:rsid w:val="56F57733"/>
    <w:rsid w:val="57030AF1"/>
    <w:rsid w:val="58F265D3"/>
    <w:rsid w:val="59580DAF"/>
    <w:rsid w:val="599D0FDC"/>
    <w:rsid w:val="5B5535BF"/>
    <w:rsid w:val="5C2A613F"/>
    <w:rsid w:val="5DA042E0"/>
    <w:rsid w:val="5E04095D"/>
    <w:rsid w:val="5E825D28"/>
    <w:rsid w:val="5ED10781"/>
    <w:rsid w:val="5F4A4B05"/>
    <w:rsid w:val="61951AC0"/>
    <w:rsid w:val="630E7003"/>
    <w:rsid w:val="632B179D"/>
    <w:rsid w:val="63BE5C7C"/>
    <w:rsid w:val="63EF7633"/>
    <w:rsid w:val="643C5CB5"/>
    <w:rsid w:val="64585071"/>
    <w:rsid w:val="651C14BE"/>
    <w:rsid w:val="6607723D"/>
    <w:rsid w:val="6679155D"/>
    <w:rsid w:val="66C21786"/>
    <w:rsid w:val="670E7B22"/>
    <w:rsid w:val="677E76DC"/>
    <w:rsid w:val="684544FB"/>
    <w:rsid w:val="688641EA"/>
    <w:rsid w:val="68E42E0A"/>
    <w:rsid w:val="69297D5E"/>
    <w:rsid w:val="6A9277E2"/>
    <w:rsid w:val="6AC9213B"/>
    <w:rsid w:val="6BDC2D32"/>
    <w:rsid w:val="6E401359"/>
    <w:rsid w:val="6E85313C"/>
    <w:rsid w:val="70C95997"/>
    <w:rsid w:val="71204001"/>
    <w:rsid w:val="7211487B"/>
    <w:rsid w:val="721A658A"/>
    <w:rsid w:val="723A4A31"/>
    <w:rsid w:val="73111204"/>
    <w:rsid w:val="749424EA"/>
    <w:rsid w:val="74B0478D"/>
    <w:rsid w:val="74F7557B"/>
    <w:rsid w:val="75427207"/>
    <w:rsid w:val="75984253"/>
    <w:rsid w:val="75E657D7"/>
    <w:rsid w:val="761A3811"/>
    <w:rsid w:val="77C96167"/>
    <w:rsid w:val="791265A1"/>
    <w:rsid w:val="79294ECE"/>
    <w:rsid w:val="79373B9B"/>
    <w:rsid w:val="7BA169BD"/>
    <w:rsid w:val="7C551ADF"/>
    <w:rsid w:val="7D1F1EA4"/>
    <w:rsid w:val="7E131BDD"/>
    <w:rsid w:val="7E5F62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0"/>
    <w:qFormat/>
    <w:uiPriority w:val="0"/>
    <w:pPr>
      <w:keepNext/>
      <w:keepLines/>
      <w:numPr>
        <w:ilvl w:val="0"/>
        <w:numId w:val="1"/>
      </w:numPr>
      <w:spacing w:before="340" w:after="330" w:line="360" w:lineRule="auto"/>
      <w:ind w:left="432" w:hanging="432"/>
      <w:jc w:val="center"/>
      <w:outlineLvl w:val="0"/>
    </w:pPr>
    <w:rPr>
      <w:rFonts w:ascii="黑体" w:hAnsi="黑体" w:eastAsia="黑体"/>
      <w:b/>
      <w:bCs/>
      <w:kern w:val="44"/>
      <w:sz w:val="32"/>
      <w:szCs w:val="32"/>
    </w:rPr>
  </w:style>
  <w:style w:type="paragraph" w:styleId="3">
    <w:name w:val="heading 2"/>
    <w:basedOn w:val="1"/>
    <w:next w:val="1"/>
    <w:link w:val="31"/>
    <w:qFormat/>
    <w:uiPriority w:val="0"/>
    <w:pPr>
      <w:keepNext/>
      <w:keepLines/>
      <w:numPr>
        <w:ilvl w:val="1"/>
        <w:numId w:val="1"/>
      </w:numPr>
      <w:spacing w:before="260" w:after="260" w:line="413" w:lineRule="auto"/>
      <w:ind w:left="575" w:hanging="575"/>
      <w:outlineLvl w:val="1"/>
    </w:pPr>
    <w:rPr>
      <w:rFonts w:ascii="Cambria" w:hAnsi="Cambria" w:eastAsia="宋体" w:cs="Times New Roman"/>
      <w:b/>
      <w:bCs/>
      <w:sz w:val="32"/>
      <w:szCs w:val="32"/>
    </w:rPr>
  </w:style>
  <w:style w:type="paragraph" w:styleId="4">
    <w:name w:val="heading 3"/>
    <w:basedOn w:val="1"/>
    <w:next w:val="1"/>
    <w:link w:val="36"/>
    <w:unhideWhenUsed/>
    <w:qFormat/>
    <w:uiPriority w:val="9"/>
    <w:pPr>
      <w:keepNext/>
      <w:keepLines/>
      <w:numPr>
        <w:ilvl w:val="2"/>
        <w:numId w:val="1"/>
      </w:numPr>
      <w:spacing w:before="260" w:after="260" w:line="416" w:lineRule="auto"/>
      <w:ind w:left="720" w:hanging="720"/>
      <w:outlineLvl w:val="2"/>
    </w:pPr>
    <w:rPr>
      <w:b/>
      <w:bCs/>
      <w:sz w:val="32"/>
      <w:szCs w:val="32"/>
    </w:rPr>
  </w:style>
  <w:style w:type="paragraph" w:styleId="5">
    <w:name w:val="heading 4"/>
    <w:basedOn w:val="1"/>
    <w:next w:val="1"/>
    <w:link w:val="37"/>
    <w:unhideWhenUsed/>
    <w:qFormat/>
    <w:uiPriority w:val="9"/>
    <w:pPr>
      <w:keepNext/>
      <w:keepLines/>
      <w:numPr>
        <w:ilvl w:val="3"/>
        <w:numId w:val="1"/>
      </w:numPr>
      <w:spacing w:before="280" w:after="290" w:line="376" w:lineRule="auto"/>
      <w:ind w:left="864" w:hanging="864"/>
      <w:outlineLvl w:val="3"/>
    </w:pPr>
    <w:rPr>
      <w:rFonts w:asciiTheme="majorHAnsi" w:hAnsiTheme="majorHAnsi" w:eastAsiaTheme="majorEastAsia" w:cstheme="majorBidi"/>
      <w:b/>
      <w:bCs/>
      <w:sz w:val="28"/>
      <w:szCs w:val="28"/>
    </w:rPr>
  </w:style>
  <w:style w:type="paragraph" w:styleId="6">
    <w:name w:val="heading 5"/>
    <w:basedOn w:val="1"/>
    <w:next w:val="1"/>
    <w:unhideWhenUsed/>
    <w:qFormat/>
    <w:uiPriority w:val="9"/>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unhideWhenUsed/>
    <w:qFormat/>
    <w:uiPriority w:val="9"/>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unhideWhenUsed/>
    <w:qFormat/>
    <w:uiPriority w:val="9"/>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22">
    <w:name w:val="Default Paragraph Font"/>
    <w:unhideWhenUsed/>
    <w:qFormat/>
    <w:uiPriority w:val="1"/>
  </w:style>
  <w:style w:type="table" w:default="1" w:styleId="21">
    <w:name w:val="Normal Table"/>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rPr>
      <w:rFonts w:eastAsia="黑体" w:asciiTheme="majorHAnsi" w:hAnsiTheme="majorHAnsi" w:cstheme="majorBidi"/>
      <w:sz w:val="20"/>
      <w:szCs w:val="20"/>
    </w:rPr>
  </w:style>
  <w:style w:type="paragraph" w:styleId="12">
    <w:name w:val="annotation text"/>
    <w:basedOn w:val="1"/>
    <w:link w:val="34"/>
    <w:unhideWhenUsed/>
    <w:qFormat/>
    <w:uiPriority w:val="99"/>
    <w:pPr>
      <w:jc w:val="left"/>
    </w:pPr>
  </w:style>
  <w:style w:type="paragraph" w:styleId="13">
    <w:name w:val="toc 3"/>
    <w:basedOn w:val="1"/>
    <w:next w:val="1"/>
    <w:unhideWhenUsed/>
    <w:qFormat/>
    <w:uiPriority w:val="39"/>
    <w:pPr>
      <w:ind w:left="840" w:leftChars="400"/>
    </w:pPr>
    <w:rPr>
      <w:rFonts w:ascii="Times New Roman" w:hAnsi="Times New Roman" w:eastAsia="宋体" w:cs="Times New Roman"/>
      <w:szCs w:val="24"/>
    </w:rPr>
  </w:style>
  <w:style w:type="paragraph" w:styleId="14">
    <w:name w:val="Balloon Text"/>
    <w:basedOn w:val="1"/>
    <w:link w:val="27"/>
    <w:unhideWhenUsed/>
    <w:qFormat/>
    <w:uiPriority w:val="99"/>
    <w:rPr>
      <w:sz w:val="18"/>
      <w:szCs w:val="18"/>
    </w:rPr>
  </w:style>
  <w:style w:type="paragraph" w:styleId="15">
    <w:name w:val="footer"/>
    <w:basedOn w:val="1"/>
    <w:link w:val="26"/>
    <w:unhideWhenUsed/>
    <w:qFormat/>
    <w:uiPriority w:val="99"/>
    <w:pPr>
      <w:tabs>
        <w:tab w:val="center" w:pos="4153"/>
        <w:tab w:val="right" w:pos="8306"/>
      </w:tabs>
      <w:snapToGrid w:val="0"/>
      <w:jc w:val="left"/>
    </w:pPr>
    <w:rPr>
      <w:sz w:val="18"/>
      <w:szCs w:val="18"/>
    </w:rPr>
  </w:style>
  <w:style w:type="paragraph" w:styleId="16">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rPr>
      <w:rFonts w:ascii="Times New Roman" w:hAnsi="Times New Roman" w:eastAsia="宋体" w:cs="Times New Roman"/>
      <w:szCs w:val="24"/>
    </w:rPr>
  </w:style>
  <w:style w:type="paragraph" w:styleId="18">
    <w:name w:val="toc 2"/>
    <w:basedOn w:val="1"/>
    <w:next w:val="1"/>
    <w:unhideWhenUsed/>
    <w:qFormat/>
    <w:uiPriority w:val="39"/>
    <w:pPr>
      <w:ind w:left="420" w:leftChars="200"/>
    </w:pPr>
    <w:rPr>
      <w:rFonts w:ascii="Times New Roman" w:hAnsi="Times New Roman" w:eastAsia="宋体" w:cs="Times New Roman"/>
      <w:szCs w:val="24"/>
    </w:rPr>
  </w:style>
  <w:style w:type="paragraph" w:styleId="19">
    <w:name w:val="Title"/>
    <w:basedOn w:val="1"/>
    <w:next w:val="1"/>
    <w:link w:val="32"/>
    <w:qFormat/>
    <w:uiPriority w:val="10"/>
    <w:pPr>
      <w:widowControl/>
      <w:adjustRightInd w:val="0"/>
      <w:snapToGrid w:val="0"/>
      <w:spacing w:before="240" w:after="60"/>
      <w:jc w:val="center"/>
      <w:outlineLvl w:val="0"/>
    </w:pPr>
    <w:rPr>
      <w:rFonts w:eastAsia="宋体" w:asciiTheme="majorHAnsi" w:hAnsiTheme="majorHAnsi" w:cstheme="majorBidi"/>
      <w:b/>
      <w:bCs/>
      <w:kern w:val="0"/>
      <w:sz w:val="32"/>
      <w:szCs w:val="32"/>
    </w:rPr>
  </w:style>
  <w:style w:type="paragraph" w:styleId="20">
    <w:name w:val="annotation subject"/>
    <w:basedOn w:val="12"/>
    <w:next w:val="12"/>
    <w:link w:val="35"/>
    <w:unhideWhenUsed/>
    <w:qFormat/>
    <w:uiPriority w:val="99"/>
    <w:rPr>
      <w:b/>
      <w:bCs/>
    </w:rPr>
  </w:style>
  <w:style w:type="character" w:styleId="23">
    <w:name w:val="Hyperlink"/>
    <w:basedOn w:val="22"/>
    <w:unhideWhenUsed/>
    <w:qFormat/>
    <w:uiPriority w:val="99"/>
    <w:rPr>
      <w:color w:val="0000FF" w:themeColor="hyperlink"/>
      <w:u w:val="single"/>
      <w14:textFill>
        <w14:solidFill>
          <w14:schemeClr w14:val="hlink"/>
        </w14:solidFill>
      </w14:textFill>
    </w:rPr>
  </w:style>
  <w:style w:type="character" w:styleId="24">
    <w:name w:val="annotation reference"/>
    <w:basedOn w:val="22"/>
    <w:unhideWhenUsed/>
    <w:qFormat/>
    <w:uiPriority w:val="99"/>
    <w:rPr>
      <w:sz w:val="21"/>
      <w:szCs w:val="21"/>
    </w:rPr>
  </w:style>
  <w:style w:type="character" w:customStyle="1" w:styleId="25">
    <w:name w:val="页眉 Char"/>
    <w:basedOn w:val="22"/>
    <w:link w:val="16"/>
    <w:qFormat/>
    <w:uiPriority w:val="99"/>
    <w:rPr>
      <w:sz w:val="18"/>
      <w:szCs w:val="18"/>
    </w:rPr>
  </w:style>
  <w:style w:type="character" w:customStyle="1" w:styleId="26">
    <w:name w:val="页脚 Char"/>
    <w:basedOn w:val="22"/>
    <w:link w:val="15"/>
    <w:qFormat/>
    <w:uiPriority w:val="99"/>
    <w:rPr>
      <w:sz w:val="18"/>
      <w:szCs w:val="18"/>
    </w:rPr>
  </w:style>
  <w:style w:type="character" w:customStyle="1" w:styleId="27">
    <w:name w:val="批注框文本 Char"/>
    <w:basedOn w:val="22"/>
    <w:link w:val="14"/>
    <w:semiHidden/>
    <w:qFormat/>
    <w:uiPriority w:val="99"/>
    <w:rPr>
      <w:sz w:val="18"/>
      <w:szCs w:val="18"/>
    </w:rPr>
  </w:style>
  <w:style w:type="paragraph" w:customStyle="1" w:styleId="28">
    <w:name w:val="List Paragraph"/>
    <w:basedOn w:val="1"/>
    <w:qFormat/>
    <w:uiPriority w:val="34"/>
    <w:pPr>
      <w:ind w:firstLine="420" w:firstLineChars="200"/>
    </w:pPr>
  </w:style>
  <w:style w:type="paragraph" w:customStyle="1" w:styleId="29">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0">
    <w:name w:val="标题 1 Char"/>
    <w:basedOn w:val="22"/>
    <w:link w:val="2"/>
    <w:qFormat/>
    <w:uiPriority w:val="0"/>
    <w:rPr>
      <w:rFonts w:ascii="黑体" w:hAnsi="黑体" w:eastAsia="黑体"/>
      <w:b/>
      <w:bCs/>
      <w:kern w:val="44"/>
      <w:sz w:val="32"/>
      <w:szCs w:val="32"/>
    </w:rPr>
  </w:style>
  <w:style w:type="character" w:customStyle="1" w:styleId="31">
    <w:name w:val="标题 2 Char"/>
    <w:basedOn w:val="22"/>
    <w:link w:val="3"/>
    <w:qFormat/>
    <w:uiPriority w:val="0"/>
    <w:rPr>
      <w:rFonts w:ascii="Cambria" w:hAnsi="Cambria" w:eastAsia="宋体" w:cs="Times New Roman"/>
      <w:b/>
      <w:bCs/>
      <w:sz w:val="32"/>
      <w:szCs w:val="32"/>
    </w:rPr>
  </w:style>
  <w:style w:type="character" w:customStyle="1" w:styleId="32">
    <w:name w:val="标题 Char"/>
    <w:basedOn w:val="22"/>
    <w:link w:val="19"/>
    <w:qFormat/>
    <w:uiPriority w:val="10"/>
    <w:rPr>
      <w:rFonts w:eastAsia="宋体" w:asciiTheme="majorHAnsi" w:hAnsiTheme="majorHAnsi" w:cstheme="majorBidi"/>
      <w:b/>
      <w:bCs/>
      <w:kern w:val="0"/>
      <w:sz w:val="32"/>
      <w:szCs w:val="32"/>
    </w:rPr>
  </w:style>
  <w:style w:type="character" w:customStyle="1" w:styleId="33">
    <w:name w:val="未处理的提及1"/>
    <w:basedOn w:val="22"/>
    <w:unhideWhenUsed/>
    <w:qFormat/>
    <w:uiPriority w:val="99"/>
    <w:rPr>
      <w:color w:val="808080"/>
      <w:shd w:val="clear" w:color="auto" w:fill="E6E6E6"/>
    </w:rPr>
  </w:style>
  <w:style w:type="character" w:customStyle="1" w:styleId="34">
    <w:name w:val="批注文字 Char"/>
    <w:basedOn w:val="22"/>
    <w:link w:val="12"/>
    <w:semiHidden/>
    <w:qFormat/>
    <w:uiPriority w:val="99"/>
  </w:style>
  <w:style w:type="character" w:customStyle="1" w:styleId="35">
    <w:name w:val="批注主题 Char"/>
    <w:basedOn w:val="34"/>
    <w:link w:val="20"/>
    <w:semiHidden/>
    <w:qFormat/>
    <w:uiPriority w:val="99"/>
    <w:rPr>
      <w:b/>
      <w:bCs/>
    </w:rPr>
  </w:style>
  <w:style w:type="character" w:customStyle="1" w:styleId="36">
    <w:name w:val="标题 3 Char"/>
    <w:basedOn w:val="22"/>
    <w:link w:val="4"/>
    <w:qFormat/>
    <w:uiPriority w:val="9"/>
    <w:rPr>
      <w:b/>
      <w:bCs/>
      <w:sz w:val="32"/>
      <w:szCs w:val="32"/>
    </w:rPr>
  </w:style>
  <w:style w:type="character" w:customStyle="1" w:styleId="37">
    <w:name w:val="标题 4 Char"/>
    <w:basedOn w:val="22"/>
    <w:link w:val="5"/>
    <w:qFormat/>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58CB77-FCB8-4E08-BE2E-EDF777357CAA}">
  <ds:schemaRefs/>
</ds:datastoreItem>
</file>

<file path=docProps/app.xml><?xml version="1.0" encoding="utf-8"?>
<Properties xmlns="http://schemas.openxmlformats.org/officeDocument/2006/extended-properties" xmlns:vt="http://schemas.openxmlformats.org/officeDocument/2006/docPropsVTypes">
  <Template>Normal</Template>
  <Pages>50</Pages>
  <Words>2621</Words>
  <Characters>14942</Characters>
  <Lines>124</Lines>
  <Paragraphs>35</Paragraphs>
  <TotalTime>4</TotalTime>
  <ScaleCrop>false</ScaleCrop>
  <LinksUpToDate>false</LinksUpToDate>
  <CharactersWithSpaces>17528</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2017-08-22T13:31:00Z</dcterms:created>
  <dc:creator>Windows 用户</dc:creator>
  <cp:lastModifiedBy>蜗牛</cp:lastModifiedBy>
  <cp:lastPrinted>2017-08-28T06:43:00Z</cp:lastPrinted>
  <dcterms:modified xsi:type="dcterms:W3CDTF">2021-04-14T10:17:27Z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69C71F2F5C51432C810386CCA77D52A3</vt:lpwstr>
  </property>
</Properties>
</file>